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E956" w14:textId="77777777" w:rsidR="00336E79" w:rsidRPr="009D1253" w:rsidRDefault="00336E79" w:rsidP="00336E79">
      <w:pPr>
        <w:tabs>
          <w:tab w:val="left" w:pos="1980"/>
        </w:tabs>
        <w:ind w:left="1620" w:firstLine="1980"/>
        <w:jc w:val="right"/>
        <w:rPr>
          <w:rFonts w:ascii="Garamond" w:hAnsi="Garamond" w:cs="Arial"/>
          <w:b/>
          <w:bCs/>
          <w:iCs/>
          <w:color w:val="0F4761" w:themeColor="accent1" w:themeShade="BF"/>
          <w:sz w:val="18"/>
          <w:szCs w:val="18"/>
          <w:lang w:val="nl-NL"/>
        </w:rPr>
      </w:pPr>
      <w:r w:rsidRPr="00036989">
        <w:rPr>
          <w:rFonts w:ascii="Garamond" w:hAnsi="Garamond"/>
          <w:noProof/>
          <w:sz w:val="20"/>
          <w:lang w:val="fr-BE" w:eastAsia="fr-BE"/>
        </w:rPr>
        <w:drawing>
          <wp:anchor distT="0" distB="0" distL="114300" distR="114300" simplePos="0" relativeHeight="251659264" behindDoc="0" locked="0" layoutInCell="1" allowOverlap="1" wp14:anchorId="3C319746" wp14:editId="55851E7D">
            <wp:simplePos x="904875" y="904875"/>
            <wp:positionH relativeFrom="column">
              <wp:align>left</wp:align>
            </wp:positionH>
            <wp:positionV relativeFrom="paragraph">
              <wp:align>top</wp:align>
            </wp:positionV>
            <wp:extent cx="2385060" cy="1021080"/>
            <wp:effectExtent l="0" t="0" r="0" b="7620"/>
            <wp:wrapSquare wrapText="bothSides"/>
            <wp:docPr id="17" name="Picture 17" descr="C:\Users\helene.matundu_luzol\AppData\Local\Microsoft\Windows\Temporary Internet Files\Content.Outlook\8MKC54EL\Logo Schola Europaea - pour documen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e.matundu_luzol\AppData\Local\Microsoft\Windows\Temporary Internet Files\Content.Outlook\8MKC54EL\Logo Schola Europaea - pour documents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5060" cy="1021080"/>
                    </a:xfrm>
                    <a:prstGeom prst="rect">
                      <a:avLst/>
                    </a:prstGeom>
                    <a:noFill/>
                    <a:ln>
                      <a:noFill/>
                    </a:ln>
                  </pic:spPr>
                </pic:pic>
              </a:graphicData>
            </a:graphic>
          </wp:anchor>
        </w:drawing>
      </w:r>
      <w:r w:rsidRPr="009D1253">
        <w:rPr>
          <w:rFonts w:ascii="Garamond" w:hAnsi="Garamond" w:cs="Arial"/>
          <w:b/>
          <w:bCs/>
          <w:iCs/>
          <w:color w:val="0F4761" w:themeColor="accent1" w:themeShade="BF"/>
          <w:sz w:val="18"/>
          <w:szCs w:val="18"/>
          <w:lang w:val="nl-NL"/>
        </w:rPr>
        <w:t xml:space="preserve">Schola </w:t>
      </w:r>
      <w:proofErr w:type="spellStart"/>
      <w:r w:rsidRPr="009D1253">
        <w:rPr>
          <w:rFonts w:ascii="Garamond" w:hAnsi="Garamond" w:cs="Arial"/>
          <w:b/>
          <w:bCs/>
          <w:iCs/>
          <w:color w:val="0F4761" w:themeColor="accent1" w:themeShade="BF"/>
          <w:sz w:val="18"/>
          <w:szCs w:val="18"/>
          <w:lang w:val="nl-NL"/>
        </w:rPr>
        <w:t>Europaea</w:t>
      </w:r>
      <w:proofErr w:type="spellEnd"/>
    </w:p>
    <w:p w14:paraId="6CFE71D0" w14:textId="77777777" w:rsidR="00336E79" w:rsidRPr="006A708D" w:rsidRDefault="00336E79" w:rsidP="00336E79">
      <w:pPr>
        <w:spacing w:before="0" w:beforeAutospacing="0" w:after="0" w:afterAutospacing="0"/>
        <w:jc w:val="right"/>
        <w:rPr>
          <w:rFonts w:ascii="Garamond" w:hAnsi="Garamond" w:cs="Arial"/>
          <w:b/>
          <w:bCs/>
          <w:iCs/>
          <w:color w:val="0F4761" w:themeColor="accent1" w:themeShade="BF"/>
          <w:sz w:val="18"/>
          <w:szCs w:val="18"/>
          <w:lang w:val="nl-NL"/>
        </w:rPr>
      </w:pPr>
      <w:r w:rsidRPr="006A708D">
        <w:rPr>
          <w:rFonts w:ascii="Garamond" w:hAnsi="Garamond" w:cs="Arial"/>
          <w:b/>
          <w:bCs/>
          <w:iCs/>
          <w:color w:val="0F4761" w:themeColor="accent1" w:themeShade="BF"/>
          <w:sz w:val="18"/>
          <w:szCs w:val="18"/>
          <w:lang w:val="nl-NL"/>
        </w:rPr>
        <w:t>European School Bergen</w:t>
      </w:r>
    </w:p>
    <w:p w14:paraId="78613624" w14:textId="77777777" w:rsidR="00336E79" w:rsidRPr="006A708D" w:rsidRDefault="00336E79" w:rsidP="00336E79">
      <w:pPr>
        <w:spacing w:before="0" w:beforeAutospacing="0" w:after="0" w:afterAutospacing="0"/>
        <w:jc w:val="right"/>
        <w:rPr>
          <w:rFonts w:ascii="Garamond" w:hAnsi="Garamond" w:cs="Arial"/>
          <w:b/>
          <w:bCs/>
          <w:iCs/>
          <w:color w:val="0F4761" w:themeColor="accent1" w:themeShade="BF"/>
          <w:sz w:val="18"/>
          <w:szCs w:val="18"/>
          <w:lang w:val="nl-NL"/>
        </w:rPr>
      </w:pPr>
      <w:proofErr w:type="spellStart"/>
      <w:r w:rsidRPr="006A708D">
        <w:rPr>
          <w:rFonts w:ascii="Garamond" w:hAnsi="Garamond" w:cs="Arial"/>
          <w:b/>
          <w:bCs/>
          <w:iCs/>
          <w:color w:val="0F4761" w:themeColor="accent1" w:themeShade="BF"/>
          <w:sz w:val="18"/>
          <w:szCs w:val="18"/>
          <w:lang w:val="nl-NL"/>
        </w:rPr>
        <w:t>Molenweidtje</w:t>
      </w:r>
      <w:proofErr w:type="spellEnd"/>
      <w:r w:rsidRPr="006A708D">
        <w:rPr>
          <w:rFonts w:ascii="Garamond" w:hAnsi="Garamond" w:cs="Arial"/>
          <w:b/>
          <w:bCs/>
          <w:iCs/>
          <w:color w:val="0F4761" w:themeColor="accent1" w:themeShade="BF"/>
          <w:sz w:val="18"/>
          <w:szCs w:val="18"/>
          <w:lang w:val="nl-NL"/>
        </w:rPr>
        <w:t xml:space="preserve"> 5</w:t>
      </w:r>
    </w:p>
    <w:p w14:paraId="4466ED67" w14:textId="77777777" w:rsidR="00336E79" w:rsidRPr="00EC37FF" w:rsidRDefault="00336E79" w:rsidP="00336E79">
      <w:pPr>
        <w:spacing w:before="0" w:beforeAutospacing="0" w:after="0" w:afterAutospacing="0"/>
        <w:jc w:val="right"/>
        <w:rPr>
          <w:rFonts w:ascii="Garamond" w:hAnsi="Garamond" w:cs="Arial"/>
          <w:b/>
          <w:bCs/>
          <w:iCs/>
          <w:color w:val="0F4761" w:themeColor="accent1" w:themeShade="BF"/>
          <w:sz w:val="18"/>
          <w:szCs w:val="18"/>
          <w:lang w:val="nl-NL"/>
        </w:rPr>
      </w:pPr>
      <w:r w:rsidRPr="00EC37FF">
        <w:rPr>
          <w:rFonts w:ascii="Garamond" w:hAnsi="Garamond" w:cs="Arial"/>
          <w:b/>
          <w:bCs/>
          <w:iCs/>
          <w:color w:val="0F4761" w:themeColor="accent1" w:themeShade="BF"/>
          <w:sz w:val="18"/>
          <w:szCs w:val="18"/>
          <w:lang w:val="nl-NL"/>
        </w:rPr>
        <w:t>1862 BC Bergen</w:t>
      </w:r>
    </w:p>
    <w:p w14:paraId="3BAE58AB" w14:textId="77777777" w:rsidR="00336E79" w:rsidRPr="00EC37FF" w:rsidRDefault="00336E79" w:rsidP="00336E79">
      <w:pPr>
        <w:spacing w:before="0" w:beforeAutospacing="0" w:after="0" w:afterAutospacing="0"/>
        <w:rPr>
          <w:rFonts w:ascii="Garamond" w:hAnsi="Garamond" w:cs="Arial"/>
          <w:b/>
          <w:i/>
          <w:sz w:val="18"/>
          <w:szCs w:val="18"/>
          <w:lang w:val="nl-NL"/>
        </w:rPr>
      </w:pPr>
    </w:p>
    <w:p w14:paraId="2A8C6034" w14:textId="77777777" w:rsidR="00336E79" w:rsidRPr="009D1253" w:rsidRDefault="00336E79" w:rsidP="00336E79">
      <w:pPr>
        <w:spacing w:before="0" w:beforeAutospacing="0" w:after="0" w:afterAutospacing="0"/>
        <w:rPr>
          <w:b/>
          <w:i/>
          <w:lang w:val="nl-NL"/>
        </w:rPr>
      </w:pPr>
      <w:r w:rsidRPr="009D1253">
        <w:rPr>
          <w:rFonts w:ascii="Garamond" w:hAnsi="Garamond" w:cs="Arial"/>
          <w:b/>
          <w:i/>
          <w:sz w:val="18"/>
          <w:szCs w:val="18"/>
          <w:lang w:val="nl-NL"/>
        </w:rPr>
        <w:br w:type="textWrapping" w:clear="all"/>
      </w:r>
    </w:p>
    <w:p w14:paraId="66537AB0" w14:textId="77777777" w:rsidR="00336E79" w:rsidRPr="006236DC" w:rsidRDefault="00336E79" w:rsidP="00336E7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620"/>
          <w:tab w:val="center" w:pos="4535"/>
        </w:tabs>
        <w:rPr>
          <w:rFonts w:ascii="Garamond" w:hAnsi="Garamond"/>
          <w:b/>
          <w:lang w:val="pt-PT"/>
        </w:rPr>
      </w:pPr>
      <w:r>
        <w:rPr>
          <w:rFonts w:ascii="Garamond" w:hAnsi="Garamond"/>
          <w:b/>
          <w:lang w:val="pt-PT"/>
        </w:rPr>
        <w:tab/>
      </w:r>
      <w:r>
        <w:rPr>
          <w:rFonts w:ascii="Garamond" w:hAnsi="Garamond"/>
          <w:b/>
          <w:lang w:val="pt-PT"/>
        </w:rPr>
        <w:tab/>
      </w:r>
      <w:r w:rsidRPr="004D61EA">
        <w:rPr>
          <w:rFonts w:ascii="Garamond" w:hAnsi="Garamond"/>
          <w:b/>
          <w:lang w:val="pt-PT"/>
        </w:rPr>
        <w:t>OPEN</w:t>
      </w:r>
      <w:r>
        <w:rPr>
          <w:rFonts w:ascii="Garamond" w:hAnsi="Garamond"/>
          <w:b/>
          <w:lang w:val="pt-PT"/>
        </w:rPr>
        <w:t xml:space="preserve"> TENDER N</w:t>
      </w:r>
      <w:r w:rsidRPr="006236DC">
        <w:rPr>
          <w:rFonts w:ascii="Garamond" w:hAnsi="Garamond"/>
          <w:b/>
          <w:lang w:val="pt-PT"/>
        </w:rPr>
        <w:t xml:space="preserve">° </w:t>
      </w:r>
      <w:r>
        <w:rPr>
          <w:rFonts w:ascii="Garamond" w:hAnsi="Garamond"/>
          <w:b/>
          <w:lang w:val="pt-PT"/>
        </w:rPr>
        <w:t>2025.03</w:t>
      </w:r>
    </w:p>
    <w:p w14:paraId="2B969CF0" w14:textId="77777777" w:rsidR="00336E79" w:rsidRPr="00036989" w:rsidRDefault="00336E79" w:rsidP="00336E7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0"/>
        </w:tabs>
        <w:jc w:val="center"/>
        <w:rPr>
          <w:rFonts w:ascii="Garamond" w:hAnsi="Garamond"/>
          <w:b/>
          <w:bCs/>
          <w:smallCaps/>
          <w:sz w:val="22"/>
          <w:szCs w:val="22"/>
          <w:lang w:val="en-US"/>
        </w:rPr>
      </w:pPr>
      <w:r>
        <w:rPr>
          <w:rFonts w:ascii="Garamond" w:hAnsi="Garamond"/>
          <w:b/>
          <w:bCs/>
          <w:smallCaps/>
          <w:sz w:val="22"/>
          <w:szCs w:val="22"/>
          <w:lang w:val="en-US"/>
        </w:rPr>
        <w:t>SALARY ADMINISTRATION (PAYROLL) AND TAX CONSULTANCY SERVICES</w:t>
      </w:r>
    </w:p>
    <w:p w14:paraId="4C0F6559" w14:textId="77777777" w:rsidR="00336E79" w:rsidRPr="00943689" w:rsidRDefault="00336E79" w:rsidP="00336E7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0"/>
        </w:tabs>
        <w:jc w:val="center"/>
        <w:rPr>
          <w:rFonts w:ascii="Garamond" w:hAnsi="Garamond"/>
          <w:b/>
          <w:smallCaps/>
          <w:lang w:val="en-US"/>
        </w:rPr>
      </w:pPr>
      <w:r w:rsidRPr="00943689">
        <w:rPr>
          <w:rFonts w:ascii="Garamond" w:hAnsi="Garamond"/>
          <w:b/>
          <w:smallCaps/>
          <w:lang w:val="en-US"/>
        </w:rPr>
        <w:t>TENDER SPECIFICATIONS</w:t>
      </w:r>
    </w:p>
    <w:p w14:paraId="05AFF016" w14:textId="659F8A7F" w:rsidR="00336E79" w:rsidRPr="00943689" w:rsidRDefault="00336E79" w:rsidP="00336E79">
      <w:pPr>
        <w:jc w:val="center"/>
        <w:rPr>
          <w:rFonts w:ascii="Garamond" w:hAnsi="Garamond"/>
          <w:b/>
          <w:sz w:val="28"/>
          <w:szCs w:val="28"/>
          <w:lang w:val="en-US"/>
        </w:rPr>
      </w:pPr>
      <w:r>
        <w:rPr>
          <w:rFonts w:ascii="Garamond" w:hAnsi="Garamond"/>
          <w:b/>
          <w:sz w:val="28"/>
          <w:szCs w:val="28"/>
          <w:lang w:val="en-US"/>
        </w:rPr>
        <w:t xml:space="preserve">Part </w:t>
      </w:r>
      <w:r>
        <w:rPr>
          <w:rFonts w:ascii="Garamond" w:hAnsi="Garamond"/>
          <w:b/>
          <w:sz w:val="28"/>
          <w:szCs w:val="28"/>
          <w:lang w:val="en-US"/>
        </w:rPr>
        <w:t>2</w:t>
      </w:r>
      <w:r>
        <w:rPr>
          <w:rFonts w:ascii="Garamond" w:hAnsi="Garamond"/>
          <w:b/>
          <w:sz w:val="28"/>
          <w:szCs w:val="28"/>
          <w:lang w:val="en-US"/>
        </w:rPr>
        <w:t xml:space="preserve"> – </w:t>
      </w:r>
      <w:r>
        <w:rPr>
          <w:rFonts w:ascii="Garamond" w:hAnsi="Garamond"/>
          <w:b/>
          <w:sz w:val="28"/>
          <w:szCs w:val="28"/>
          <w:lang w:val="en-US"/>
        </w:rPr>
        <w:t>Technical</w:t>
      </w:r>
      <w:r>
        <w:rPr>
          <w:rFonts w:ascii="Garamond" w:hAnsi="Garamond"/>
          <w:b/>
          <w:sz w:val="28"/>
          <w:szCs w:val="28"/>
          <w:lang w:val="en-US"/>
        </w:rPr>
        <w:t xml:space="preserve"> specifications</w:t>
      </w:r>
    </w:p>
    <w:p w14:paraId="499A2CEC" w14:textId="77777777" w:rsidR="00336E79" w:rsidRPr="00943689" w:rsidRDefault="00336E79" w:rsidP="00336E79">
      <w:pPr>
        <w:jc w:val="center"/>
        <w:rPr>
          <w:rFonts w:ascii="Garamond" w:hAnsi="Garamond"/>
          <w:b/>
          <w:sz w:val="28"/>
          <w:szCs w:val="28"/>
          <w:lang w:val="en-US"/>
        </w:rPr>
      </w:pPr>
    </w:p>
    <w:p w14:paraId="3ABA24AA" w14:textId="77777777" w:rsidR="00336E79" w:rsidRPr="00036989" w:rsidRDefault="00336E79" w:rsidP="00336E79">
      <w:pPr>
        <w:spacing w:before="0" w:beforeAutospacing="0" w:after="0" w:afterAutospacing="0"/>
        <w:jc w:val="left"/>
        <w:rPr>
          <w:rFonts w:ascii="Garamond" w:eastAsiaTheme="minorHAnsi" w:hAnsi="Garamond"/>
          <w:b/>
          <w:i/>
          <w:color w:val="0070C0"/>
          <w:sz w:val="28"/>
          <w:szCs w:val="28"/>
          <w:lang w:eastAsia="en-US"/>
        </w:rPr>
      </w:pPr>
    </w:p>
    <w:p w14:paraId="121D59D0" w14:textId="77777777" w:rsidR="00336E79" w:rsidRPr="00036989" w:rsidRDefault="00336E79" w:rsidP="00336E79">
      <w:pPr>
        <w:rPr>
          <w:rFonts w:ascii="Garamond" w:hAnsi="Garamond"/>
          <w:u w:val="single"/>
        </w:rPr>
      </w:pPr>
    </w:p>
    <w:p w14:paraId="0B0B420E" w14:textId="77777777" w:rsidR="00336E79" w:rsidRPr="00036989" w:rsidRDefault="00336E79" w:rsidP="00336E79">
      <w:pPr>
        <w:rPr>
          <w:rFonts w:ascii="Garamond" w:hAnsi="Garamond"/>
          <w:u w:val="single"/>
        </w:rPr>
      </w:pPr>
    </w:p>
    <w:p w14:paraId="49F1BD1F" w14:textId="77777777" w:rsidR="00336E79" w:rsidRPr="00036989" w:rsidRDefault="00336E79" w:rsidP="00336E79">
      <w:pPr>
        <w:pStyle w:val="TOC3"/>
        <w:tabs>
          <w:tab w:val="left" w:pos="1077"/>
        </w:tabs>
        <w:ind w:left="839"/>
        <w:jc w:val="center"/>
        <w:rPr>
          <w:rFonts w:ascii="Garamond" w:hAnsi="Garamond"/>
        </w:rPr>
        <w:sectPr w:rsidR="00336E79" w:rsidRPr="00036989" w:rsidSect="00336E79">
          <w:headerReference w:type="default" r:id="rId6"/>
          <w:footerReference w:type="even" r:id="rId7"/>
          <w:footerReference w:type="default" r:id="rId8"/>
          <w:footnotePr>
            <w:pos w:val="beneathText"/>
          </w:footnotePr>
          <w:pgSz w:w="11906" w:h="16838" w:code="9"/>
          <w:pgMar w:top="1413" w:right="1418" w:bottom="1247" w:left="1418" w:header="567" w:footer="567" w:gutter="0"/>
          <w:pgNumType w:start="1"/>
          <w:cols w:space="720"/>
          <w:docGrid w:linePitch="326"/>
        </w:sectPr>
      </w:pPr>
    </w:p>
    <w:p w14:paraId="59F12447" w14:textId="77777777" w:rsidR="00336E79" w:rsidRPr="00036989" w:rsidRDefault="00336E79" w:rsidP="00336E79">
      <w:pPr>
        <w:jc w:val="center"/>
        <w:rPr>
          <w:rFonts w:ascii="Garamond" w:hAnsi="Garamond"/>
          <w:b/>
          <w:noProof/>
        </w:rPr>
      </w:pPr>
      <w:bookmarkStart w:id="0" w:name="_Toc260151634"/>
      <w:bookmarkStart w:id="1" w:name="_Toc528424145"/>
      <w:r w:rsidRPr="00036989">
        <w:rPr>
          <w:rFonts w:ascii="Garamond" w:hAnsi="Garamond"/>
          <w:b/>
        </w:rPr>
        <w:lastRenderedPageBreak/>
        <w:t>TABLE OF CONTENTS</w:t>
      </w:r>
      <w:bookmarkEnd w:id="0"/>
      <w:bookmarkEnd w:id="1"/>
    </w:p>
    <w:p w14:paraId="1309A5B7" w14:textId="77777777" w:rsidR="00336E79" w:rsidRDefault="00336E79" w:rsidP="00336E79">
      <w:pPr>
        <w:pStyle w:val="TOC1"/>
        <w:rPr>
          <w:rFonts w:asciiTheme="minorHAnsi" w:eastAsiaTheme="minorEastAsia" w:hAnsiTheme="minorHAnsi" w:cstheme="minorBidi"/>
          <w:caps w:val="0"/>
          <w:noProof/>
          <w:kern w:val="2"/>
          <w:lang w:val="en-NL" w:eastAsia="en-NL"/>
          <w14:ligatures w14:val="standardContextual"/>
        </w:rPr>
      </w:pPr>
      <w:r w:rsidRPr="00036989">
        <w:rPr>
          <w:rFonts w:ascii="Garamond" w:hAnsi="Garamond"/>
          <w:caps w:val="0"/>
          <w:noProof/>
        </w:rPr>
        <w:fldChar w:fldCharType="begin"/>
      </w:r>
      <w:r w:rsidRPr="00036989">
        <w:rPr>
          <w:rFonts w:ascii="Garamond" w:hAnsi="Garamond"/>
          <w:caps w:val="0"/>
          <w:noProof/>
        </w:rPr>
        <w:instrText xml:space="preserve"> TOC \o "1-2" \h \z \u </w:instrText>
      </w:r>
      <w:r w:rsidRPr="00036989">
        <w:rPr>
          <w:rFonts w:ascii="Garamond" w:hAnsi="Garamond"/>
          <w:caps w:val="0"/>
          <w:noProof/>
        </w:rPr>
        <w:fldChar w:fldCharType="separate"/>
      </w:r>
      <w:hyperlink w:anchor="_Toc226629554" w:history="1">
        <w:r w:rsidRPr="00AC560C">
          <w:rPr>
            <w:rStyle w:val="Hyperlink"/>
            <w:rFonts w:ascii="Garamond" w:hAnsi="Garamond"/>
            <w:noProof/>
          </w:rPr>
          <w:t>1.</w:t>
        </w:r>
        <w:r>
          <w:rPr>
            <w:rFonts w:asciiTheme="minorHAnsi" w:eastAsiaTheme="minorEastAsia" w:hAnsiTheme="minorHAnsi" w:cstheme="minorBidi"/>
            <w:caps w:val="0"/>
            <w:noProof/>
            <w:kern w:val="2"/>
            <w:lang w:val="en-NL" w:eastAsia="en-NL"/>
            <w14:ligatures w14:val="standardContextual"/>
          </w:rPr>
          <w:tab/>
        </w:r>
        <w:r w:rsidRPr="00AC560C">
          <w:rPr>
            <w:rStyle w:val="Hyperlink"/>
            <w:rFonts w:ascii="Garamond" w:hAnsi="Garamond"/>
            <w:noProof/>
          </w:rPr>
          <w:t>Scope and description of the procurement</w:t>
        </w:r>
        <w:r>
          <w:rPr>
            <w:noProof/>
            <w:webHidden/>
          </w:rPr>
          <w:tab/>
        </w:r>
        <w:r>
          <w:rPr>
            <w:noProof/>
            <w:webHidden/>
          </w:rPr>
          <w:fldChar w:fldCharType="begin"/>
        </w:r>
        <w:r>
          <w:rPr>
            <w:noProof/>
            <w:webHidden/>
          </w:rPr>
          <w:instrText xml:space="preserve"> PAGEREF _Toc226629554 \h </w:instrText>
        </w:r>
        <w:r>
          <w:rPr>
            <w:noProof/>
            <w:webHidden/>
          </w:rPr>
        </w:r>
        <w:r>
          <w:rPr>
            <w:noProof/>
            <w:webHidden/>
          </w:rPr>
          <w:fldChar w:fldCharType="separate"/>
        </w:r>
        <w:r>
          <w:rPr>
            <w:noProof/>
            <w:webHidden/>
          </w:rPr>
          <w:t>4</w:t>
        </w:r>
        <w:r>
          <w:rPr>
            <w:noProof/>
            <w:webHidden/>
          </w:rPr>
          <w:fldChar w:fldCharType="end"/>
        </w:r>
      </w:hyperlink>
    </w:p>
    <w:p w14:paraId="742722DC"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55" w:history="1">
        <w:r w:rsidRPr="00AC560C">
          <w:rPr>
            <w:rStyle w:val="Hyperlink"/>
            <w:rFonts w:ascii="Garamond" w:hAnsi="Garamond"/>
            <w:noProof/>
          </w:rPr>
          <w:t>1.1. Contracting authority: who is the buyer?</w:t>
        </w:r>
        <w:r>
          <w:rPr>
            <w:noProof/>
            <w:webHidden/>
          </w:rPr>
          <w:tab/>
        </w:r>
        <w:r>
          <w:rPr>
            <w:noProof/>
            <w:webHidden/>
          </w:rPr>
          <w:fldChar w:fldCharType="begin"/>
        </w:r>
        <w:r>
          <w:rPr>
            <w:noProof/>
            <w:webHidden/>
          </w:rPr>
          <w:instrText xml:space="preserve"> PAGEREF _Toc226629555 \h </w:instrText>
        </w:r>
        <w:r>
          <w:rPr>
            <w:noProof/>
            <w:webHidden/>
          </w:rPr>
        </w:r>
        <w:r>
          <w:rPr>
            <w:noProof/>
            <w:webHidden/>
          </w:rPr>
          <w:fldChar w:fldCharType="separate"/>
        </w:r>
        <w:r>
          <w:rPr>
            <w:noProof/>
            <w:webHidden/>
          </w:rPr>
          <w:t>4</w:t>
        </w:r>
        <w:r>
          <w:rPr>
            <w:noProof/>
            <w:webHidden/>
          </w:rPr>
          <w:fldChar w:fldCharType="end"/>
        </w:r>
      </w:hyperlink>
    </w:p>
    <w:p w14:paraId="1C7159C5"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56" w:history="1">
        <w:r w:rsidRPr="00AC560C">
          <w:rPr>
            <w:rStyle w:val="Hyperlink"/>
            <w:rFonts w:ascii="Garamond" w:hAnsi="Garamond"/>
            <w:noProof/>
          </w:rPr>
          <w:t>1.2. Subject: what is this procurement about?</w:t>
        </w:r>
        <w:r>
          <w:rPr>
            <w:noProof/>
            <w:webHidden/>
          </w:rPr>
          <w:tab/>
        </w:r>
        <w:r>
          <w:rPr>
            <w:noProof/>
            <w:webHidden/>
          </w:rPr>
          <w:fldChar w:fldCharType="begin"/>
        </w:r>
        <w:r>
          <w:rPr>
            <w:noProof/>
            <w:webHidden/>
          </w:rPr>
          <w:instrText xml:space="preserve"> PAGEREF _Toc226629556 \h </w:instrText>
        </w:r>
        <w:r>
          <w:rPr>
            <w:noProof/>
            <w:webHidden/>
          </w:rPr>
        </w:r>
        <w:r>
          <w:rPr>
            <w:noProof/>
            <w:webHidden/>
          </w:rPr>
          <w:fldChar w:fldCharType="separate"/>
        </w:r>
        <w:r>
          <w:rPr>
            <w:noProof/>
            <w:webHidden/>
          </w:rPr>
          <w:t>4</w:t>
        </w:r>
        <w:r>
          <w:rPr>
            <w:noProof/>
            <w:webHidden/>
          </w:rPr>
          <w:fldChar w:fldCharType="end"/>
        </w:r>
      </w:hyperlink>
    </w:p>
    <w:p w14:paraId="438D9A2E"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57" w:history="1">
        <w:r w:rsidRPr="00AC560C">
          <w:rPr>
            <w:rStyle w:val="Hyperlink"/>
            <w:rFonts w:ascii="Garamond" w:hAnsi="Garamond"/>
            <w:noProof/>
          </w:rPr>
          <w:t>1.3. Lots: is this procurement divided into lots?</w:t>
        </w:r>
        <w:r>
          <w:rPr>
            <w:noProof/>
            <w:webHidden/>
          </w:rPr>
          <w:tab/>
        </w:r>
        <w:r>
          <w:rPr>
            <w:noProof/>
            <w:webHidden/>
          </w:rPr>
          <w:fldChar w:fldCharType="begin"/>
        </w:r>
        <w:r>
          <w:rPr>
            <w:noProof/>
            <w:webHidden/>
          </w:rPr>
          <w:instrText xml:space="preserve"> PAGEREF _Toc226629557 \h </w:instrText>
        </w:r>
        <w:r>
          <w:rPr>
            <w:noProof/>
            <w:webHidden/>
          </w:rPr>
        </w:r>
        <w:r>
          <w:rPr>
            <w:noProof/>
            <w:webHidden/>
          </w:rPr>
          <w:fldChar w:fldCharType="separate"/>
        </w:r>
        <w:r>
          <w:rPr>
            <w:noProof/>
            <w:webHidden/>
          </w:rPr>
          <w:t>4</w:t>
        </w:r>
        <w:r>
          <w:rPr>
            <w:noProof/>
            <w:webHidden/>
          </w:rPr>
          <w:fldChar w:fldCharType="end"/>
        </w:r>
      </w:hyperlink>
    </w:p>
    <w:p w14:paraId="2A60B8B8"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58" w:history="1">
        <w:r w:rsidRPr="00AC560C">
          <w:rPr>
            <w:rStyle w:val="Hyperlink"/>
            <w:rFonts w:ascii="Garamond" w:hAnsi="Garamond"/>
            <w:noProof/>
          </w:rPr>
          <w:t>1.4. Technical description: what do we want to buy through this procurement (minimum technical specifications)?</w:t>
        </w:r>
        <w:r>
          <w:rPr>
            <w:noProof/>
            <w:webHidden/>
          </w:rPr>
          <w:tab/>
        </w:r>
        <w:r>
          <w:rPr>
            <w:noProof/>
            <w:webHidden/>
          </w:rPr>
          <w:fldChar w:fldCharType="begin"/>
        </w:r>
        <w:r>
          <w:rPr>
            <w:noProof/>
            <w:webHidden/>
          </w:rPr>
          <w:instrText xml:space="preserve"> PAGEREF _Toc226629558 \h </w:instrText>
        </w:r>
        <w:r>
          <w:rPr>
            <w:noProof/>
            <w:webHidden/>
          </w:rPr>
        </w:r>
        <w:r>
          <w:rPr>
            <w:noProof/>
            <w:webHidden/>
          </w:rPr>
          <w:fldChar w:fldCharType="separate"/>
        </w:r>
        <w:r>
          <w:rPr>
            <w:noProof/>
            <w:webHidden/>
          </w:rPr>
          <w:t>4</w:t>
        </w:r>
        <w:r>
          <w:rPr>
            <w:noProof/>
            <w:webHidden/>
          </w:rPr>
          <w:fldChar w:fldCharType="end"/>
        </w:r>
      </w:hyperlink>
    </w:p>
    <w:p w14:paraId="5B9B34CC"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59" w:history="1">
        <w:r w:rsidRPr="00AC560C">
          <w:rPr>
            <w:rStyle w:val="Hyperlink"/>
            <w:rFonts w:ascii="Garamond" w:hAnsi="Garamond"/>
            <w:noProof/>
          </w:rPr>
          <w:t>1.5. Place of performance: where will the contract be performed?</w:t>
        </w:r>
        <w:r>
          <w:rPr>
            <w:noProof/>
            <w:webHidden/>
          </w:rPr>
          <w:tab/>
        </w:r>
        <w:r>
          <w:rPr>
            <w:noProof/>
            <w:webHidden/>
          </w:rPr>
          <w:fldChar w:fldCharType="begin"/>
        </w:r>
        <w:r>
          <w:rPr>
            <w:noProof/>
            <w:webHidden/>
          </w:rPr>
          <w:instrText xml:space="preserve"> PAGEREF _Toc226629559 \h </w:instrText>
        </w:r>
        <w:r>
          <w:rPr>
            <w:noProof/>
            <w:webHidden/>
          </w:rPr>
        </w:r>
        <w:r>
          <w:rPr>
            <w:noProof/>
            <w:webHidden/>
          </w:rPr>
          <w:fldChar w:fldCharType="separate"/>
        </w:r>
        <w:r>
          <w:rPr>
            <w:noProof/>
            <w:webHidden/>
          </w:rPr>
          <w:t>4</w:t>
        </w:r>
        <w:r>
          <w:rPr>
            <w:noProof/>
            <w:webHidden/>
          </w:rPr>
          <w:fldChar w:fldCharType="end"/>
        </w:r>
      </w:hyperlink>
    </w:p>
    <w:p w14:paraId="6C455AA9"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60" w:history="1">
        <w:r w:rsidRPr="00AC560C">
          <w:rPr>
            <w:rStyle w:val="Hyperlink"/>
            <w:rFonts w:ascii="Garamond" w:hAnsi="Garamond"/>
            <w:noProof/>
          </w:rPr>
          <w:t>1.6. Nature of the contract: how will the contract be implemented?</w:t>
        </w:r>
        <w:r>
          <w:rPr>
            <w:noProof/>
            <w:webHidden/>
          </w:rPr>
          <w:tab/>
        </w:r>
        <w:r>
          <w:rPr>
            <w:noProof/>
            <w:webHidden/>
          </w:rPr>
          <w:fldChar w:fldCharType="begin"/>
        </w:r>
        <w:r>
          <w:rPr>
            <w:noProof/>
            <w:webHidden/>
          </w:rPr>
          <w:instrText xml:space="preserve"> PAGEREF _Toc226629560 \h </w:instrText>
        </w:r>
        <w:r>
          <w:rPr>
            <w:noProof/>
            <w:webHidden/>
          </w:rPr>
        </w:r>
        <w:r>
          <w:rPr>
            <w:noProof/>
            <w:webHidden/>
          </w:rPr>
          <w:fldChar w:fldCharType="separate"/>
        </w:r>
        <w:r>
          <w:rPr>
            <w:noProof/>
            <w:webHidden/>
          </w:rPr>
          <w:t>4</w:t>
        </w:r>
        <w:r>
          <w:rPr>
            <w:noProof/>
            <w:webHidden/>
          </w:rPr>
          <w:fldChar w:fldCharType="end"/>
        </w:r>
      </w:hyperlink>
    </w:p>
    <w:p w14:paraId="3BB3FC75"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61" w:history="1">
        <w:r w:rsidRPr="00AC560C">
          <w:rPr>
            <w:rStyle w:val="Hyperlink"/>
            <w:rFonts w:ascii="Garamond" w:hAnsi="Garamond"/>
            <w:noProof/>
          </w:rPr>
          <w:t>1.7. Volume and value of the contract: how much do we plan to buy?</w:t>
        </w:r>
        <w:r>
          <w:rPr>
            <w:noProof/>
            <w:webHidden/>
          </w:rPr>
          <w:tab/>
        </w:r>
        <w:r>
          <w:rPr>
            <w:noProof/>
            <w:webHidden/>
          </w:rPr>
          <w:fldChar w:fldCharType="begin"/>
        </w:r>
        <w:r>
          <w:rPr>
            <w:noProof/>
            <w:webHidden/>
          </w:rPr>
          <w:instrText xml:space="preserve"> PAGEREF _Toc226629561 \h </w:instrText>
        </w:r>
        <w:r>
          <w:rPr>
            <w:noProof/>
            <w:webHidden/>
          </w:rPr>
        </w:r>
        <w:r>
          <w:rPr>
            <w:noProof/>
            <w:webHidden/>
          </w:rPr>
          <w:fldChar w:fldCharType="separate"/>
        </w:r>
        <w:r>
          <w:rPr>
            <w:noProof/>
            <w:webHidden/>
          </w:rPr>
          <w:t>5</w:t>
        </w:r>
        <w:r>
          <w:rPr>
            <w:noProof/>
            <w:webHidden/>
          </w:rPr>
          <w:fldChar w:fldCharType="end"/>
        </w:r>
      </w:hyperlink>
    </w:p>
    <w:p w14:paraId="02E8E01C"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62" w:history="1">
        <w:r w:rsidRPr="00AC560C">
          <w:rPr>
            <w:rStyle w:val="Hyperlink"/>
            <w:rFonts w:ascii="Garamond" w:hAnsi="Garamond"/>
            <w:noProof/>
          </w:rPr>
          <w:t>1.8. Duration of the contract: how long do we plan to use the contract?</w:t>
        </w:r>
        <w:r>
          <w:rPr>
            <w:noProof/>
            <w:webHidden/>
          </w:rPr>
          <w:tab/>
        </w:r>
        <w:r>
          <w:rPr>
            <w:noProof/>
            <w:webHidden/>
          </w:rPr>
          <w:fldChar w:fldCharType="begin"/>
        </w:r>
        <w:r>
          <w:rPr>
            <w:noProof/>
            <w:webHidden/>
          </w:rPr>
          <w:instrText xml:space="preserve"> PAGEREF _Toc226629562 \h </w:instrText>
        </w:r>
        <w:r>
          <w:rPr>
            <w:noProof/>
            <w:webHidden/>
          </w:rPr>
        </w:r>
        <w:r>
          <w:rPr>
            <w:noProof/>
            <w:webHidden/>
          </w:rPr>
          <w:fldChar w:fldCharType="separate"/>
        </w:r>
        <w:r>
          <w:rPr>
            <w:noProof/>
            <w:webHidden/>
          </w:rPr>
          <w:t>6</w:t>
        </w:r>
        <w:r>
          <w:rPr>
            <w:noProof/>
            <w:webHidden/>
          </w:rPr>
          <w:fldChar w:fldCharType="end"/>
        </w:r>
      </w:hyperlink>
    </w:p>
    <w:p w14:paraId="3AEA5037" w14:textId="77777777" w:rsidR="00336E79" w:rsidRDefault="00336E79" w:rsidP="00336E79">
      <w:pPr>
        <w:pStyle w:val="TOC1"/>
        <w:rPr>
          <w:rFonts w:asciiTheme="minorHAnsi" w:eastAsiaTheme="minorEastAsia" w:hAnsiTheme="minorHAnsi" w:cstheme="minorBidi"/>
          <w:caps w:val="0"/>
          <w:noProof/>
          <w:kern w:val="2"/>
          <w:lang w:val="en-NL" w:eastAsia="en-NL"/>
          <w14:ligatures w14:val="standardContextual"/>
        </w:rPr>
      </w:pPr>
      <w:hyperlink w:anchor="_Toc226629563" w:history="1">
        <w:r w:rsidRPr="00AC560C">
          <w:rPr>
            <w:rStyle w:val="Hyperlink"/>
            <w:rFonts w:ascii="Garamond" w:hAnsi="Garamond"/>
            <w:noProof/>
          </w:rPr>
          <w:t>2.</w:t>
        </w:r>
        <w:r>
          <w:rPr>
            <w:rFonts w:asciiTheme="minorHAnsi" w:eastAsiaTheme="minorEastAsia" w:hAnsiTheme="minorHAnsi" w:cstheme="minorBidi"/>
            <w:caps w:val="0"/>
            <w:noProof/>
            <w:kern w:val="2"/>
            <w:lang w:val="en-NL" w:eastAsia="en-NL"/>
            <w14:ligatures w14:val="standardContextual"/>
          </w:rPr>
          <w:tab/>
        </w:r>
        <w:r w:rsidRPr="00AC560C">
          <w:rPr>
            <w:rStyle w:val="Hyperlink"/>
            <w:rFonts w:ascii="Garamond" w:hAnsi="Garamond"/>
            <w:noProof/>
          </w:rPr>
          <w:t>General information on tendering</w:t>
        </w:r>
        <w:r>
          <w:rPr>
            <w:noProof/>
            <w:webHidden/>
          </w:rPr>
          <w:tab/>
        </w:r>
        <w:r>
          <w:rPr>
            <w:noProof/>
            <w:webHidden/>
          </w:rPr>
          <w:fldChar w:fldCharType="begin"/>
        </w:r>
        <w:r>
          <w:rPr>
            <w:noProof/>
            <w:webHidden/>
          </w:rPr>
          <w:instrText xml:space="preserve"> PAGEREF _Toc226629563 \h </w:instrText>
        </w:r>
        <w:r>
          <w:rPr>
            <w:noProof/>
            <w:webHidden/>
          </w:rPr>
        </w:r>
        <w:r>
          <w:rPr>
            <w:noProof/>
            <w:webHidden/>
          </w:rPr>
          <w:fldChar w:fldCharType="separate"/>
        </w:r>
        <w:r>
          <w:rPr>
            <w:noProof/>
            <w:webHidden/>
          </w:rPr>
          <w:t>7</w:t>
        </w:r>
        <w:r>
          <w:rPr>
            <w:noProof/>
            <w:webHidden/>
          </w:rPr>
          <w:fldChar w:fldCharType="end"/>
        </w:r>
      </w:hyperlink>
    </w:p>
    <w:p w14:paraId="4A1410BE"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64" w:history="1">
        <w:r w:rsidRPr="00AC560C">
          <w:rPr>
            <w:rStyle w:val="Hyperlink"/>
            <w:rFonts w:ascii="Garamond" w:hAnsi="Garamond"/>
            <w:noProof/>
          </w:rPr>
          <w:t>2.1. Legal basis: what are the rules?</w:t>
        </w:r>
        <w:r>
          <w:rPr>
            <w:noProof/>
            <w:webHidden/>
          </w:rPr>
          <w:tab/>
        </w:r>
        <w:r>
          <w:rPr>
            <w:noProof/>
            <w:webHidden/>
          </w:rPr>
          <w:fldChar w:fldCharType="begin"/>
        </w:r>
        <w:r>
          <w:rPr>
            <w:noProof/>
            <w:webHidden/>
          </w:rPr>
          <w:instrText xml:space="preserve"> PAGEREF _Toc226629564 \h </w:instrText>
        </w:r>
        <w:r>
          <w:rPr>
            <w:noProof/>
            <w:webHidden/>
          </w:rPr>
        </w:r>
        <w:r>
          <w:rPr>
            <w:noProof/>
            <w:webHidden/>
          </w:rPr>
          <w:fldChar w:fldCharType="separate"/>
        </w:r>
        <w:r>
          <w:rPr>
            <w:noProof/>
            <w:webHidden/>
          </w:rPr>
          <w:t>7</w:t>
        </w:r>
        <w:r>
          <w:rPr>
            <w:noProof/>
            <w:webHidden/>
          </w:rPr>
          <w:fldChar w:fldCharType="end"/>
        </w:r>
      </w:hyperlink>
    </w:p>
    <w:p w14:paraId="7ED333CB"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65" w:history="1">
        <w:r w:rsidRPr="00AC560C">
          <w:rPr>
            <w:rStyle w:val="Hyperlink"/>
            <w:rFonts w:ascii="Garamond" w:hAnsi="Garamond"/>
            <w:noProof/>
          </w:rPr>
          <w:t>2.2. Rules on access to procurement: who may submit a tender?</w:t>
        </w:r>
        <w:r>
          <w:rPr>
            <w:noProof/>
            <w:webHidden/>
          </w:rPr>
          <w:tab/>
        </w:r>
        <w:r>
          <w:rPr>
            <w:noProof/>
            <w:webHidden/>
          </w:rPr>
          <w:fldChar w:fldCharType="begin"/>
        </w:r>
        <w:r>
          <w:rPr>
            <w:noProof/>
            <w:webHidden/>
          </w:rPr>
          <w:instrText xml:space="preserve"> PAGEREF _Toc226629565 \h </w:instrText>
        </w:r>
        <w:r>
          <w:rPr>
            <w:noProof/>
            <w:webHidden/>
          </w:rPr>
        </w:r>
        <w:r>
          <w:rPr>
            <w:noProof/>
            <w:webHidden/>
          </w:rPr>
          <w:fldChar w:fldCharType="separate"/>
        </w:r>
        <w:r>
          <w:rPr>
            <w:noProof/>
            <w:webHidden/>
          </w:rPr>
          <w:t>7</w:t>
        </w:r>
        <w:r>
          <w:rPr>
            <w:noProof/>
            <w:webHidden/>
          </w:rPr>
          <w:fldChar w:fldCharType="end"/>
        </w:r>
      </w:hyperlink>
    </w:p>
    <w:p w14:paraId="0776ECBC"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66" w:history="1">
        <w:r w:rsidRPr="00AC560C">
          <w:rPr>
            <w:rStyle w:val="Hyperlink"/>
            <w:rFonts w:ascii="Garamond" w:hAnsi="Garamond"/>
            <w:noProof/>
          </w:rPr>
          <w:t>2.3. Ways to submit a tender: how can economic operators organise themselves to submit a tender?</w:t>
        </w:r>
        <w:r>
          <w:rPr>
            <w:noProof/>
            <w:webHidden/>
          </w:rPr>
          <w:tab/>
        </w:r>
        <w:r>
          <w:rPr>
            <w:noProof/>
            <w:webHidden/>
          </w:rPr>
          <w:fldChar w:fldCharType="begin"/>
        </w:r>
        <w:r>
          <w:rPr>
            <w:noProof/>
            <w:webHidden/>
          </w:rPr>
          <w:instrText xml:space="preserve"> PAGEREF _Toc226629566 \h </w:instrText>
        </w:r>
        <w:r>
          <w:rPr>
            <w:noProof/>
            <w:webHidden/>
          </w:rPr>
        </w:r>
        <w:r>
          <w:rPr>
            <w:noProof/>
            <w:webHidden/>
          </w:rPr>
          <w:fldChar w:fldCharType="separate"/>
        </w:r>
        <w:r>
          <w:rPr>
            <w:noProof/>
            <w:webHidden/>
          </w:rPr>
          <w:t>7</w:t>
        </w:r>
        <w:r>
          <w:rPr>
            <w:noProof/>
            <w:webHidden/>
          </w:rPr>
          <w:fldChar w:fldCharType="end"/>
        </w:r>
      </w:hyperlink>
    </w:p>
    <w:p w14:paraId="786490AE" w14:textId="77777777" w:rsidR="00336E79" w:rsidRDefault="00336E79" w:rsidP="00336E79">
      <w:pPr>
        <w:pStyle w:val="TOC1"/>
        <w:rPr>
          <w:rFonts w:asciiTheme="minorHAnsi" w:eastAsiaTheme="minorEastAsia" w:hAnsiTheme="minorHAnsi" w:cstheme="minorBidi"/>
          <w:caps w:val="0"/>
          <w:noProof/>
          <w:kern w:val="2"/>
          <w:lang w:val="en-NL" w:eastAsia="en-NL"/>
          <w14:ligatures w14:val="standardContextual"/>
        </w:rPr>
      </w:pPr>
      <w:hyperlink w:anchor="_Toc226629567" w:history="1">
        <w:r w:rsidRPr="00AC560C">
          <w:rPr>
            <w:rStyle w:val="Hyperlink"/>
            <w:rFonts w:ascii="Garamond" w:hAnsi="Garamond"/>
            <w:noProof/>
          </w:rPr>
          <w:t>3.</w:t>
        </w:r>
        <w:r>
          <w:rPr>
            <w:rFonts w:asciiTheme="minorHAnsi" w:eastAsiaTheme="minorEastAsia" w:hAnsiTheme="minorHAnsi" w:cstheme="minorBidi"/>
            <w:caps w:val="0"/>
            <w:noProof/>
            <w:kern w:val="2"/>
            <w:lang w:val="en-NL" w:eastAsia="en-NL"/>
            <w14:ligatures w14:val="standardContextual"/>
          </w:rPr>
          <w:tab/>
        </w:r>
        <w:r w:rsidRPr="00AC560C">
          <w:rPr>
            <w:rStyle w:val="Hyperlink"/>
            <w:rFonts w:ascii="Garamond" w:hAnsi="Garamond"/>
            <w:noProof/>
          </w:rPr>
          <w:t>Evaluation and award</w:t>
        </w:r>
        <w:r>
          <w:rPr>
            <w:noProof/>
            <w:webHidden/>
          </w:rPr>
          <w:tab/>
        </w:r>
        <w:r>
          <w:rPr>
            <w:noProof/>
            <w:webHidden/>
          </w:rPr>
          <w:fldChar w:fldCharType="begin"/>
        </w:r>
        <w:r>
          <w:rPr>
            <w:noProof/>
            <w:webHidden/>
          </w:rPr>
          <w:instrText xml:space="preserve"> PAGEREF _Toc226629567 \h </w:instrText>
        </w:r>
        <w:r>
          <w:rPr>
            <w:noProof/>
            <w:webHidden/>
          </w:rPr>
        </w:r>
        <w:r>
          <w:rPr>
            <w:noProof/>
            <w:webHidden/>
          </w:rPr>
          <w:fldChar w:fldCharType="separate"/>
        </w:r>
        <w:r>
          <w:rPr>
            <w:noProof/>
            <w:webHidden/>
          </w:rPr>
          <w:t>11</w:t>
        </w:r>
        <w:r>
          <w:rPr>
            <w:noProof/>
            <w:webHidden/>
          </w:rPr>
          <w:fldChar w:fldCharType="end"/>
        </w:r>
      </w:hyperlink>
    </w:p>
    <w:p w14:paraId="450F5FBE"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68" w:history="1">
        <w:r w:rsidRPr="00AC560C">
          <w:rPr>
            <w:rStyle w:val="Hyperlink"/>
            <w:rFonts w:ascii="Garamond" w:hAnsi="Garamond"/>
            <w:noProof/>
          </w:rPr>
          <w:t>3.1. Exclusion criteria</w:t>
        </w:r>
        <w:r>
          <w:rPr>
            <w:noProof/>
            <w:webHidden/>
          </w:rPr>
          <w:tab/>
        </w:r>
        <w:r>
          <w:rPr>
            <w:noProof/>
            <w:webHidden/>
          </w:rPr>
          <w:fldChar w:fldCharType="begin"/>
        </w:r>
        <w:r>
          <w:rPr>
            <w:noProof/>
            <w:webHidden/>
          </w:rPr>
          <w:instrText xml:space="preserve"> PAGEREF _Toc226629568 \h </w:instrText>
        </w:r>
        <w:r>
          <w:rPr>
            <w:noProof/>
            <w:webHidden/>
          </w:rPr>
        </w:r>
        <w:r>
          <w:rPr>
            <w:noProof/>
            <w:webHidden/>
          </w:rPr>
          <w:fldChar w:fldCharType="separate"/>
        </w:r>
        <w:r>
          <w:rPr>
            <w:noProof/>
            <w:webHidden/>
          </w:rPr>
          <w:t>11</w:t>
        </w:r>
        <w:r>
          <w:rPr>
            <w:noProof/>
            <w:webHidden/>
          </w:rPr>
          <w:fldChar w:fldCharType="end"/>
        </w:r>
      </w:hyperlink>
    </w:p>
    <w:p w14:paraId="79D8D1AA"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69" w:history="1">
        <w:r w:rsidRPr="00AC560C">
          <w:rPr>
            <w:rStyle w:val="Hyperlink"/>
            <w:rFonts w:ascii="Garamond" w:hAnsi="Garamond"/>
            <w:noProof/>
          </w:rPr>
          <w:t>3.2. Selection criteria</w:t>
        </w:r>
        <w:r>
          <w:rPr>
            <w:noProof/>
            <w:webHidden/>
          </w:rPr>
          <w:tab/>
        </w:r>
        <w:r>
          <w:rPr>
            <w:noProof/>
            <w:webHidden/>
          </w:rPr>
          <w:fldChar w:fldCharType="begin"/>
        </w:r>
        <w:r>
          <w:rPr>
            <w:noProof/>
            <w:webHidden/>
          </w:rPr>
          <w:instrText xml:space="preserve"> PAGEREF _Toc226629569 \h </w:instrText>
        </w:r>
        <w:r>
          <w:rPr>
            <w:noProof/>
            <w:webHidden/>
          </w:rPr>
        </w:r>
        <w:r>
          <w:rPr>
            <w:noProof/>
            <w:webHidden/>
          </w:rPr>
          <w:fldChar w:fldCharType="separate"/>
        </w:r>
        <w:r>
          <w:rPr>
            <w:noProof/>
            <w:webHidden/>
          </w:rPr>
          <w:t>12</w:t>
        </w:r>
        <w:r>
          <w:rPr>
            <w:noProof/>
            <w:webHidden/>
          </w:rPr>
          <w:fldChar w:fldCharType="end"/>
        </w:r>
      </w:hyperlink>
    </w:p>
    <w:p w14:paraId="0DF05834"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70" w:history="1">
        <w:r w:rsidRPr="00AC560C">
          <w:rPr>
            <w:rStyle w:val="Hyperlink"/>
            <w:rFonts w:ascii="Garamond" w:hAnsi="Garamond"/>
            <w:noProof/>
          </w:rPr>
          <w:t>3.3. Compliance with the minimum requirements of the Tender specifications</w:t>
        </w:r>
        <w:r>
          <w:rPr>
            <w:noProof/>
            <w:webHidden/>
          </w:rPr>
          <w:tab/>
        </w:r>
        <w:r>
          <w:rPr>
            <w:noProof/>
            <w:webHidden/>
          </w:rPr>
          <w:fldChar w:fldCharType="begin"/>
        </w:r>
        <w:r>
          <w:rPr>
            <w:noProof/>
            <w:webHidden/>
          </w:rPr>
          <w:instrText xml:space="preserve"> PAGEREF _Toc226629570 \h </w:instrText>
        </w:r>
        <w:r>
          <w:rPr>
            <w:noProof/>
            <w:webHidden/>
          </w:rPr>
        </w:r>
        <w:r>
          <w:rPr>
            <w:noProof/>
            <w:webHidden/>
          </w:rPr>
          <w:fldChar w:fldCharType="separate"/>
        </w:r>
        <w:r>
          <w:rPr>
            <w:noProof/>
            <w:webHidden/>
          </w:rPr>
          <w:t>14</w:t>
        </w:r>
        <w:r>
          <w:rPr>
            <w:noProof/>
            <w:webHidden/>
          </w:rPr>
          <w:fldChar w:fldCharType="end"/>
        </w:r>
      </w:hyperlink>
    </w:p>
    <w:p w14:paraId="587476AA"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71" w:history="1">
        <w:r w:rsidRPr="00AC560C">
          <w:rPr>
            <w:rStyle w:val="Hyperlink"/>
            <w:rFonts w:ascii="Garamond" w:hAnsi="Garamond"/>
            <w:noProof/>
          </w:rPr>
          <w:t>3.4. Award criteria</w:t>
        </w:r>
        <w:r>
          <w:rPr>
            <w:noProof/>
            <w:webHidden/>
          </w:rPr>
          <w:tab/>
        </w:r>
        <w:r>
          <w:rPr>
            <w:noProof/>
            <w:webHidden/>
          </w:rPr>
          <w:fldChar w:fldCharType="begin"/>
        </w:r>
        <w:r>
          <w:rPr>
            <w:noProof/>
            <w:webHidden/>
          </w:rPr>
          <w:instrText xml:space="preserve"> PAGEREF _Toc226629571 \h </w:instrText>
        </w:r>
        <w:r>
          <w:rPr>
            <w:noProof/>
            <w:webHidden/>
          </w:rPr>
        </w:r>
        <w:r>
          <w:rPr>
            <w:noProof/>
            <w:webHidden/>
          </w:rPr>
          <w:fldChar w:fldCharType="separate"/>
        </w:r>
        <w:r>
          <w:rPr>
            <w:noProof/>
            <w:webHidden/>
          </w:rPr>
          <w:t>14</w:t>
        </w:r>
        <w:r>
          <w:rPr>
            <w:noProof/>
            <w:webHidden/>
          </w:rPr>
          <w:fldChar w:fldCharType="end"/>
        </w:r>
      </w:hyperlink>
    </w:p>
    <w:p w14:paraId="06F9454F"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72" w:history="1">
        <w:r w:rsidRPr="00AC560C">
          <w:rPr>
            <w:rStyle w:val="Hyperlink"/>
            <w:rFonts w:ascii="Garamond" w:hAnsi="Garamond"/>
            <w:noProof/>
          </w:rPr>
          <w:t>3.5. Award (ranking of tenders)</w:t>
        </w:r>
        <w:r>
          <w:rPr>
            <w:noProof/>
            <w:webHidden/>
          </w:rPr>
          <w:tab/>
        </w:r>
        <w:r>
          <w:rPr>
            <w:noProof/>
            <w:webHidden/>
          </w:rPr>
          <w:fldChar w:fldCharType="begin"/>
        </w:r>
        <w:r>
          <w:rPr>
            <w:noProof/>
            <w:webHidden/>
          </w:rPr>
          <w:instrText xml:space="preserve"> PAGEREF _Toc226629572 \h </w:instrText>
        </w:r>
        <w:r>
          <w:rPr>
            <w:noProof/>
            <w:webHidden/>
          </w:rPr>
        </w:r>
        <w:r>
          <w:rPr>
            <w:noProof/>
            <w:webHidden/>
          </w:rPr>
          <w:fldChar w:fldCharType="separate"/>
        </w:r>
        <w:r>
          <w:rPr>
            <w:noProof/>
            <w:webHidden/>
          </w:rPr>
          <w:t>15</w:t>
        </w:r>
        <w:r>
          <w:rPr>
            <w:noProof/>
            <w:webHidden/>
          </w:rPr>
          <w:fldChar w:fldCharType="end"/>
        </w:r>
      </w:hyperlink>
    </w:p>
    <w:p w14:paraId="23E48A3E" w14:textId="77777777" w:rsidR="00336E79" w:rsidRDefault="00336E79" w:rsidP="00336E79">
      <w:pPr>
        <w:pStyle w:val="TOC1"/>
        <w:rPr>
          <w:rFonts w:asciiTheme="minorHAnsi" w:eastAsiaTheme="minorEastAsia" w:hAnsiTheme="minorHAnsi" w:cstheme="minorBidi"/>
          <w:caps w:val="0"/>
          <w:noProof/>
          <w:kern w:val="2"/>
          <w:lang w:val="en-NL" w:eastAsia="en-NL"/>
          <w14:ligatures w14:val="standardContextual"/>
        </w:rPr>
      </w:pPr>
      <w:hyperlink w:anchor="_Toc226629573" w:history="1">
        <w:r w:rsidRPr="00AC560C">
          <w:rPr>
            <w:rStyle w:val="Hyperlink"/>
            <w:rFonts w:ascii="Garamond" w:hAnsi="Garamond"/>
            <w:noProof/>
          </w:rPr>
          <w:t>4.</w:t>
        </w:r>
        <w:r>
          <w:rPr>
            <w:rFonts w:asciiTheme="minorHAnsi" w:eastAsiaTheme="minorEastAsia" w:hAnsiTheme="minorHAnsi" w:cstheme="minorBidi"/>
            <w:caps w:val="0"/>
            <w:noProof/>
            <w:kern w:val="2"/>
            <w:lang w:val="en-NL" w:eastAsia="en-NL"/>
            <w14:ligatures w14:val="standardContextual"/>
          </w:rPr>
          <w:tab/>
        </w:r>
        <w:r w:rsidRPr="00AC560C">
          <w:rPr>
            <w:rStyle w:val="Hyperlink"/>
            <w:rFonts w:ascii="Garamond" w:hAnsi="Garamond"/>
            <w:noProof/>
          </w:rPr>
          <w:t>Form and content of the tender</w:t>
        </w:r>
        <w:r>
          <w:rPr>
            <w:noProof/>
            <w:webHidden/>
          </w:rPr>
          <w:tab/>
        </w:r>
        <w:r>
          <w:rPr>
            <w:noProof/>
            <w:webHidden/>
          </w:rPr>
          <w:fldChar w:fldCharType="begin"/>
        </w:r>
        <w:r>
          <w:rPr>
            <w:noProof/>
            <w:webHidden/>
          </w:rPr>
          <w:instrText xml:space="preserve"> PAGEREF _Toc226629573 \h </w:instrText>
        </w:r>
        <w:r>
          <w:rPr>
            <w:noProof/>
            <w:webHidden/>
          </w:rPr>
        </w:r>
        <w:r>
          <w:rPr>
            <w:noProof/>
            <w:webHidden/>
          </w:rPr>
          <w:fldChar w:fldCharType="separate"/>
        </w:r>
        <w:r>
          <w:rPr>
            <w:noProof/>
            <w:webHidden/>
          </w:rPr>
          <w:t>16</w:t>
        </w:r>
        <w:r>
          <w:rPr>
            <w:noProof/>
            <w:webHidden/>
          </w:rPr>
          <w:fldChar w:fldCharType="end"/>
        </w:r>
      </w:hyperlink>
    </w:p>
    <w:p w14:paraId="11983C40"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74" w:history="1">
        <w:r w:rsidRPr="00AC560C">
          <w:rPr>
            <w:rStyle w:val="Hyperlink"/>
            <w:rFonts w:ascii="Garamond" w:hAnsi="Garamond"/>
            <w:noProof/>
          </w:rPr>
          <w:t>4.1. Form of the tender: how to submit the tender?</w:t>
        </w:r>
        <w:r>
          <w:rPr>
            <w:noProof/>
            <w:webHidden/>
          </w:rPr>
          <w:tab/>
        </w:r>
        <w:r>
          <w:rPr>
            <w:noProof/>
            <w:webHidden/>
          </w:rPr>
          <w:fldChar w:fldCharType="begin"/>
        </w:r>
        <w:r>
          <w:rPr>
            <w:noProof/>
            <w:webHidden/>
          </w:rPr>
          <w:instrText xml:space="preserve"> PAGEREF _Toc226629574 \h </w:instrText>
        </w:r>
        <w:r>
          <w:rPr>
            <w:noProof/>
            <w:webHidden/>
          </w:rPr>
        </w:r>
        <w:r>
          <w:rPr>
            <w:noProof/>
            <w:webHidden/>
          </w:rPr>
          <w:fldChar w:fldCharType="separate"/>
        </w:r>
        <w:r>
          <w:rPr>
            <w:noProof/>
            <w:webHidden/>
          </w:rPr>
          <w:t>16</w:t>
        </w:r>
        <w:r>
          <w:rPr>
            <w:noProof/>
            <w:webHidden/>
          </w:rPr>
          <w:fldChar w:fldCharType="end"/>
        </w:r>
      </w:hyperlink>
    </w:p>
    <w:p w14:paraId="184C20EB"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75" w:history="1">
        <w:r w:rsidRPr="00AC560C">
          <w:rPr>
            <w:rStyle w:val="Hyperlink"/>
            <w:rFonts w:ascii="Garamond" w:hAnsi="Garamond"/>
            <w:noProof/>
          </w:rPr>
          <w:t>4.2. Content of the tender: what documents to submit with the tender?</w:t>
        </w:r>
        <w:r>
          <w:rPr>
            <w:noProof/>
            <w:webHidden/>
          </w:rPr>
          <w:tab/>
        </w:r>
        <w:r>
          <w:rPr>
            <w:noProof/>
            <w:webHidden/>
          </w:rPr>
          <w:fldChar w:fldCharType="begin"/>
        </w:r>
        <w:r>
          <w:rPr>
            <w:noProof/>
            <w:webHidden/>
          </w:rPr>
          <w:instrText xml:space="preserve"> PAGEREF _Toc226629575 \h </w:instrText>
        </w:r>
        <w:r>
          <w:rPr>
            <w:noProof/>
            <w:webHidden/>
          </w:rPr>
        </w:r>
        <w:r>
          <w:rPr>
            <w:noProof/>
            <w:webHidden/>
          </w:rPr>
          <w:fldChar w:fldCharType="separate"/>
        </w:r>
        <w:r>
          <w:rPr>
            <w:noProof/>
            <w:webHidden/>
          </w:rPr>
          <w:t>16</w:t>
        </w:r>
        <w:r>
          <w:rPr>
            <w:noProof/>
            <w:webHidden/>
          </w:rPr>
          <w:fldChar w:fldCharType="end"/>
        </w:r>
      </w:hyperlink>
    </w:p>
    <w:p w14:paraId="3B979DA8"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76" w:history="1">
        <w:r w:rsidRPr="00AC560C">
          <w:rPr>
            <w:rStyle w:val="Hyperlink"/>
            <w:rFonts w:ascii="Garamond" w:hAnsi="Garamond"/>
            <w:noProof/>
          </w:rPr>
          <w:t>4.3. Signature policy: how can documents be signed?</w:t>
        </w:r>
        <w:r>
          <w:rPr>
            <w:noProof/>
            <w:webHidden/>
          </w:rPr>
          <w:tab/>
        </w:r>
        <w:r>
          <w:rPr>
            <w:noProof/>
            <w:webHidden/>
          </w:rPr>
          <w:fldChar w:fldCharType="begin"/>
        </w:r>
        <w:r>
          <w:rPr>
            <w:noProof/>
            <w:webHidden/>
          </w:rPr>
          <w:instrText xml:space="preserve"> PAGEREF _Toc226629576 \h </w:instrText>
        </w:r>
        <w:r>
          <w:rPr>
            <w:noProof/>
            <w:webHidden/>
          </w:rPr>
        </w:r>
        <w:r>
          <w:rPr>
            <w:noProof/>
            <w:webHidden/>
          </w:rPr>
          <w:fldChar w:fldCharType="separate"/>
        </w:r>
        <w:r>
          <w:rPr>
            <w:noProof/>
            <w:webHidden/>
          </w:rPr>
          <w:t>16</w:t>
        </w:r>
        <w:r>
          <w:rPr>
            <w:noProof/>
            <w:webHidden/>
          </w:rPr>
          <w:fldChar w:fldCharType="end"/>
        </w:r>
      </w:hyperlink>
    </w:p>
    <w:p w14:paraId="4287F80B" w14:textId="77777777" w:rsidR="00336E79" w:rsidRDefault="00336E79" w:rsidP="00336E79">
      <w:pPr>
        <w:pStyle w:val="TOC2"/>
        <w:rPr>
          <w:rFonts w:asciiTheme="minorHAnsi" w:eastAsiaTheme="minorEastAsia" w:hAnsiTheme="minorHAnsi" w:cstheme="minorBidi"/>
          <w:noProof/>
          <w:kern w:val="2"/>
          <w:lang w:val="en-NL" w:eastAsia="en-NL"/>
          <w14:ligatures w14:val="standardContextual"/>
        </w:rPr>
      </w:pPr>
      <w:hyperlink w:anchor="_Toc226629577" w:history="1">
        <w:r w:rsidRPr="00AC560C">
          <w:rPr>
            <w:rStyle w:val="Hyperlink"/>
            <w:rFonts w:ascii="Garamond" w:hAnsi="Garamond"/>
            <w:noProof/>
          </w:rPr>
          <w:t>4.4. Confidentiality of tenders: what information and under what conditions can be disclosed?</w:t>
        </w:r>
        <w:r>
          <w:rPr>
            <w:noProof/>
            <w:webHidden/>
          </w:rPr>
          <w:tab/>
        </w:r>
        <w:r>
          <w:rPr>
            <w:noProof/>
            <w:webHidden/>
          </w:rPr>
          <w:fldChar w:fldCharType="begin"/>
        </w:r>
        <w:r>
          <w:rPr>
            <w:noProof/>
            <w:webHidden/>
          </w:rPr>
          <w:instrText xml:space="preserve"> PAGEREF _Toc226629577 \h </w:instrText>
        </w:r>
        <w:r>
          <w:rPr>
            <w:noProof/>
            <w:webHidden/>
          </w:rPr>
        </w:r>
        <w:r>
          <w:rPr>
            <w:noProof/>
            <w:webHidden/>
          </w:rPr>
          <w:fldChar w:fldCharType="separate"/>
        </w:r>
        <w:r>
          <w:rPr>
            <w:noProof/>
            <w:webHidden/>
          </w:rPr>
          <w:t>17</w:t>
        </w:r>
        <w:r>
          <w:rPr>
            <w:noProof/>
            <w:webHidden/>
          </w:rPr>
          <w:fldChar w:fldCharType="end"/>
        </w:r>
      </w:hyperlink>
    </w:p>
    <w:p w14:paraId="754398CE" w14:textId="77777777" w:rsidR="00336E79" w:rsidRDefault="00336E79" w:rsidP="00336E79">
      <w:pPr>
        <w:pStyle w:val="TOC1"/>
        <w:rPr>
          <w:rFonts w:asciiTheme="minorHAnsi" w:eastAsiaTheme="minorEastAsia" w:hAnsiTheme="minorHAnsi" w:cstheme="minorBidi"/>
          <w:caps w:val="0"/>
          <w:noProof/>
          <w:kern w:val="2"/>
          <w:lang w:val="en-NL" w:eastAsia="en-NL"/>
          <w14:ligatures w14:val="standardContextual"/>
        </w:rPr>
      </w:pPr>
      <w:hyperlink w:anchor="_Toc226629578" w:history="1">
        <w:r w:rsidRPr="00AC560C">
          <w:rPr>
            <w:rStyle w:val="Hyperlink"/>
            <w:rFonts w:ascii="Garamond" w:hAnsi="Garamond"/>
            <w:noProof/>
          </w:rPr>
          <w:t>5.</w:t>
        </w:r>
        <w:r>
          <w:rPr>
            <w:rFonts w:asciiTheme="minorHAnsi" w:eastAsiaTheme="minorEastAsia" w:hAnsiTheme="minorHAnsi" w:cstheme="minorBidi"/>
            <w:caps w:val="0"/>
            <w:noProof/>
            <w:kern w:val="2"/>
            <w:lang w:val="en-NL" w:eastAsia="en-NL"/>
            <w14:ligatures w14:val="standardContextual"/>
          </w:rPr>
          <w:tab/>
        </w:r>
        <w:r w:rsidRPr="00AC560C">
          <w:rPr>
            <w:rStyle w:val="Hyperlink"/>
            <w:rFonts w:ascii="Garamond" w:hAnsi="Garamond"/>
            <w:noProof/>
          </w:rPr>
          <w:t>Processing of personal data</w:t>
        </w:r>
        <w:r>
          <w:rPr>
            <w:noProof/>
            <w:webHidden/>
          </w:rPr>
          <w:tab/>
        </w:r>
        <w:r>
          <w:rPr>
            <w:noProof/>
            <w:webHidden/>
          </w:rPr>
          <w:fldChar w:fldCharType="begin"/>
        </w:r>
        <w:r>
          <w:rPr>
            <w:noProof/>
            <w:webHidden/>
          </w:rPr>
          <w:instrText xml:space="preserve"> PAGEREF _Toc226629578 \h </w:instrText>
        </w:r>
        <w:r>
          <w:rPr>
            <w:noProof/>
            <w:webHidden/>
          </w:rPr>
        </w:r>
        <w:r>
          <w:rPr>
            <w:noProof/>
            <w:webHidden/>
          </w:rPr>
          <w:fldChar w:fldCharType="separate"/>
        </w:r>
        <w:r>
          <w:rPr>
            <w:noProof/>
            <w:webHidden/>
          </w:rPr>
          <w:t>19</w:t>
        </w:r>
        <w:r>
          <w:rPr>
            <w:noProof/>
            <w:webHidden/>
          </w:rPr>
          <w:fldChar w:fldCharType="end"/>
        </w:r>
      </w:hyperlink>
    </w:p>
    <w:p w14:paraId="3D4A1CBC" w14:textId="77777777" w:rsidR="00336E79" w:rsidRDefault="00336E79" w:rsidP="00336E79">
      <w:pPr>
        <w:pStyle w:val="TOC1"/>
        <w:rPr>
          <w:rFonts w:asciiTheme="minorHAnsi" w:eastAsiaTheme="minorEastAsia" w:hAnsiTheme="minorHAnsi" w:cstheme="minorBidi"/>
          <w:caps w:val="0"/>
          <w:noProof/>
          <w:kern w:val="2"/>
          <w:lang w:val="en-NL" w:eastAsia="en-NL"/>
          <w14:ligatures w14:val="standardContextual"/>
        </w:rPr>
      </w:pPr>
      <w:hyperlink w:anchor="_Toc226629579" w:history="1">
        <w:r w:rsidRPr="00AC560C">
          <w:rPr>
            <w:rStyle w:val="Hyperlink"/>
            <w:rFonts w:ascii="Garamond" w:hAnsi="Garamond"/>
            <w:noProof/>
          </w:rPr>
          <w:t>Annexes</w:t>
        </w:r>
        <w:r>
          <w:rPr>
            <w:noProof/>
            <w:webHidden/>
          </w:rPr>
          <w:tab/>
        </w:r>
        <w:r>
          <w:rPr>
            <w:noProof/>
            <w:webHidden/>
          </w:rPr>
          <w:fldChar w:fldCharType="begin"/>
        </w:r>
        <w:r>
          <w:rPr>
            <w:noProof/>
            <w:webHidden/>
          </w:rPr>
          <w:instrText xml:space="preserve"> PAGEREF _Toc226629579 \h </w:instrText>
        </w:r>
        <w:r>
          <w:rPr>
            <w:noProof/>
            <w:webHidden/>
          </w:rPr>
        </w:r>
        <w:r>
          <w:rPr>
            <w:noProof/>
            <w:webHidden/>
          </w:rPr>
          <w:fldChar w:fldCharType="separate"/>
        </w:r>
        <w:r>
          <w:rPr>
            <w:noProof/>
            <w:webHidden/>
          </w:rPr>
          <w:t>20</w:t>
        </w:r>
        <w:r>
          <w:rPr>
            <w:noProof/>
            <w:webHidden/>
          </w:rPr>
          <w:fldChar w:fldCharType="end"/>
        </w:r>
      </w:hyperlink>
    </w:p>
    <w:p w14:paraId="5F3D228D" w14:textId="77777777" w:rsidR="00336E79" w:rsidRPr="00036989" w:rsidRDefault="00336E79" w:rsidP="00336E79">
      <w:pPr>
        <w:rPr>
          <w:rFonts w:ascii="Garamond" w:hAnsi="Garamond"/>
          <w:caps/>
          <w:noProof/>
        </w:rPr>
      </w:pPr>
      <w:r w:rsidRPr="00036989">
        <w:rPr>
          <w:rFonts w:ascii="Garamond" w:hAnsi="Garamond"/>
          <w:caps/>
          <w:noProof/>
        </w:rPr>
        <w:fldChar w:fldCharType="end"/>
      </w:r>
    </w:p>
    <w:p w14:paraId="47635549" w14:textId="77777777" w:rsidR="00336E79" w:rsidRPr="00336E79" w:rsidRDefault="00336E79" w:rsidP="00336E79">
      <w:pPr>
        <w:pStyle w:val="Heading1"/>
        <w:keepNext/>
        <w:pageBreakBefore/>
        <w:pBdr>
          <w:top w:val="none" w:sz="0" w:space="0" w:color="auto"/>
          <w:left w:val="none" w:sz="0" w:space="0" w:color="auto"/>
          <w:bottom w:val="none" w:sz="0" w:space="0" w:color="auto"/>
          <w:right w:val="none" w:sz="0" w:space="0" w:color="auto"/>
        </w:pBdr>
        <w:shd w:val="clear" w:color="auto" w:fill="auto"/>
        <w:spacing w:before="240" w:beforeAutospacing="0" w:after="240" w:afterAutospacing="0" w:line="240" w:lineRule="auto"/>
        <w:ind w:left="360" w:hanging="360"/>
        <w:rPr>
          <w:rFonts w:ascii="Garamond" w:eastAsia="Times New Roman" w:hAnsi="Garamond"/>
          <w:b/>
          <w:smallCaps/>
          <w:color w:val="auto"/>
          <w:spacing w:val="0"/>
          <w:sz w:val="28"/>
          <w:szCs w:val="28"/>
        </w:rPr>
      </w:pPr>
      <w:bookmarkStart w:id="2" w:name="_Ref528099681"/>
      <w:bookmarkStart w:id="3" w:name="_Toc226629554"/>
      <w:r w:rsidRPr="00336E79">
        <w:rPr>
          <w:rFonts w:ascii="Garamond" w:eastAsia="Times New Roman" w:hAnsi="Garamond"/>
          <w:b/>
          <w:smallCaps/>
          <w:color w:val="auto"/>
          <w:spacing w:val="0"/>
          <w:sz w:val="28"/>
          <w:szCs w:val="28"/>
        </w:rPr>
        <w:lastRenderedPageBreak/>
        <w:t>Scope and description of the procurement</w:t>
      </w:r>
      <w:bookmarkEnd w:id="2"/>
      <w:bookmarkEnd w:id="3"/>
    </w:p>
    <w:p w14:paraId="578B8554" w14:textId="77777777" w:rsidR="00336E79" w:rsidRDefault="00336E79" w:rsidP="00336E79">
      <w:bookmarkStart w:id="4" w:name="_Contracting_authority:_who"/>
      <w:bookmarkEnd w:id="4"/>
      <w:r>
        <w:t>By payroll services, the contracting authority understands</w:t>
      </w:r>
      <w:r w:rsidRPr="008833C5">
        <w:t xml:space="preserve"> a compliance chain that links the employer</w:t>
      </w:r>
      <w:r>
        <w:t xml:space="preserve"> (SAP)</w:t>
      </w:r>
      <w:r w:rsidRPr="008833C5">
        <w:t>, the employee</w:t>
      </w:r>
      <w:r>
        <w:t xml:space="preserve"> (IBAN, payslip)</w:t>
      </w:r>
      <w:r w:rsidRPr="008833C5">
        <w:t xml:space="preserve">, the </w:t>
      </w:r>
      <w:proofErr w:type="spellStart"/>
      <w:r w:rsidRPr="008833C5">
        <w:rPr>
          <w:i/>
          <w:iCs/>
        </w:rPr>
        <w:t>Belastingdienst</w:t>
      </w:r>
      <w:proofErr w:type="spellEnd"/>
      <w:r w:rsidRPr="008833C5">
        <w:t xml:space="preserve">, and the </w:t>
      </w:r>
      <w:r>
        <w:t>p</w:t>
      </w:r>
      <w:r w:rsidRPr="008833C5">
        <w:t xml:space="preserve">ension </w:t>
      </w:r>
      <w:r>
        <w:t xml:space="preserve">provider (currently </w:t>
      </w:r>
      <w:proofErr w:type="spellStart"/>
      <w:r w:rsidRPr="008E4DD4">
        <w:rPr>
          <w:i/>
          <w:iCs/>
        </w:rPr>
        <w:t>asr</w:t>
      </w:r>
      <w:proofErr w:type="spellEnd"/>
      <w:r>
        <w:t>)</w:t>
      </w:r>
      <w:r w:rsidRPr="008833C5">
        <w:t>.</w:t>
      </w:r>
      <w:r w:rsidRPr="00050D33">
        <w:t xml:space="preserve"> </w:t>
      </w:r>
    </w:p>
    <w:p w14:paraId="1E86C122" w14:textId="63F93091" w:rsidR="00336E79" w:rsidRDefault="00336E79" w:rsidP="00336E79">
      <w:r>
        <w:t>The contracting authority distinguishes two main staff categories whose salaries are subject to Dutch income tax legislation: administrative</w:t>
      </w:r>
      <w:r>
        <w:t xml:space="preserve"> and ancillary</w:t>
      </w:r>
      <w:r>
        <w:t xml:space="preserve"> staff </w:t>
      </w:r>
      <w:r>
        <w:t xml:space="preserve">including locally recruited management, </w:t>
      </w:r>
      <w:r>
        <w:t>and locally recruited teachers. Some employees have contracts in both categories.</w:t>
      </w:r>
    </w:p>
    <w:p w14:paraId="32ABF21F" w14:textId="77777777" w:rsidR="00336E79" w:rsidRDefault="00336E79" w:rsidP="00336E79">
      <w:r>
        <w:t xml:space="preserve">Currently, the contracting authority generates </w:t>
      </w:r>
      <w:proofErr w:type="gramStart"/>
      <w:r>
        <w:t>on a monthly basis</w:t>
      </w:r>
      <w:proofErr w:type="gramEnd"/>
      <w:r>
        <w:t xml:space="preserve"> excel sheets with the basic gross salaries, the presence of a second year of sickness leave (-30% gross salary), the additional pays related to overtime, and some of the retroactive corrections and adjustments. Other retroactive corrections occur and concern larger numbers of months. The latter are typically </w:t>
      </w:r>
    </w:p>
    <w:p w14:paraId="09744EA8" w14:textId="77777777" w:rsidR="00336E79" w:rsidRPr="00336E79" w:rsidRDefault="00336E79" w:rsidP="00336E79">
      <w:pPr>
        <w:pStyle w:val="ListParagraph"/>
        <w:numPr>
          <w:ilvl w:val="0"/>
          <w:numId w:val="1"/>
        </w:numPr>
        <w:spacing w:beforeAutospacing="0" w:afterAutospacing="0"/>
        <w:jc w:val="left"/>
        <w:rPr>
          <w:sz w:val="24"/>
          <w:szCs w:val="24"/>
          <w:lang w:val="en-GB"/>
        </w:rPr>
      </w:pPr>
      <w:r w:rsidRPr="00336E79">
        <w:rPr>
          <w:sz w:val="24"/>
          <w:szCs w:val="24"/>
          <w:lang w:val="en-GB"/>
        </w:rPr>
        <w:t xml:space="preserve">an indexation of the salaries for LRT decided and to be calculated in March but starting in July of the previous year, and </w:t>
      </w:r>
    </w:p>
    <w:p w14:paraId="4DFA29C5" w14:textId="77777777" w:rsidR="00336E79" w:rsidRPr="00336E79" w:rsidRDefault="00336E79" w:rsidP="00336E79">
      <w:pPr>
        <w:pStyle w:val="ListParagraph"/>
        <w:numPr>
          <w:ilvl w:val="0"/>
          <w:numId w:val="1"/>
        </w:numPr>
        <w:spacing w:beforeAutospacing="0" w:afterAutospacing="0"/>
        <w:jc w:val="left"/>
        <w:rPr>
          <w:sz w:val="24"/>
          <w:szCs w:val="24"/>
          <w:lang w:val="en-GB"/>
        </w:rPr>
      </w:pPr>
      <w:r w:rsidRPr="00336E79">
        <w:rPr>
          <w:sz w:val="24"/>
          <w:szCs w:val="24"/>
          <w:lang w:val="en-GB"/>
        </w:rPr>
        <w:t>the indexation of AAS salaries in May with retroactive application since January of the same year, including the holiday allowance.</w:t>
      </w:r>
    </w:p>
    <w:p w14:paraId="112140E3" w14:textId="7B837F2A" w:rsidR="00336E79" w:rsidRDefault="00336E79" w:rsidP="00336E79">
      <w:r>
        <w:t xml:space="preserve">The </w:t>
      </w:r>
      <w:r>
        <w:t xml:space="preserve">monthly </w:t>
      </w:r>
      <w:r>
        <w:t xml:space="preserve">payroll </w:t>
      </w:r>
      <w:r>
        <w:t xml:space="preserve">administration </w:t>
      </w:r>
      <w:r>
        <w:t xml:space="preserve">services </w:t>
      </w:r>
      <w:r>
        <w:t xml:space="preserve">covered under the monthly fee, the cost per payslip and the cost for onboarding and offboarding an employee, </w:t>
      </w:r>
      <w:r>
        <w:t>consist of</w:t>
      </w:r>
    </w:p>
    <w:p w14:paraId="43C30188" w14:textId="77777777" w:rsidR="00336E79" w:rsidRPr="00336E79" w:rsidRDefault="00336E79" w:rsidP="00336E79">
      <w:pPr>
        <w:pStyle w:val="ListParagraph"/>
        <w:numPr>
          <w:ilvl w:val="0"/>
          <w:numId w:val="1"/>
        </w:numPr>
        <w:spacing w:beforeAutospacing="0" w:afterAutospacing="0"/>
        <w:jc w:val="left"/>
        <w:rPr>
          <w:sz w:val="24"/>
          <w:szCs w:val="24"/>
          <w:lang w:val="en-GB"/>
        </w:rPr>
      </w:pPr>
      <w:r w:rsidRPr="00336E79">
        <w:rPr>
          <w:sz w:val="24"/>
          <w:szCs w:val="24"/>
          <w:lang w:val="en-GB"/>
        </w:rPr>
        <w:t xml:space="preserve">review of the data quality on the monthly excel sheets, and overall tax compliance (e.g. </w:t>
      </w:r>
      <w:proofErr w:type="spellStart"/>
      <w:r w:rsidRPr="00336E79">
        <w:rPr>
          <w:i/>
          <w:iCs/>
          <w:sz w:val="24"/>
          <w:szCs w:val="24"/>
          <w:lang w:val="en-GB"/>
        </w:rPr>
        <w:t>werkkostenregeling</w:t>
      </w:r>
      <w:proofErr w:type="spellEnd"/>
      <w:r w:rsidRPr="00336E79">
        <w:rPr>
          <w:sz w:val="24"/>
          <w:szCs w:val="24"/>
          <w:lang w:val="en-GB"/>
        </w:rPr>
        <w:t>)</w:t>
      </w:r>
    </w:p>
    <w:p w14:paraId="2B1E99AC" w14:textId="5844A70C" w:rsidR="00336E79" w:rsidRPr="00336E79" w:rsidRDefault="00336E79" w:rsidP="00336E79">
      <w:pPr>
        <w:pStyle w:val="ListParagraph"/>
        <w:numPr>
          <w:ilvl w:val="0"/>
          <w:numId w:val="1"/>
        </w:numPr>
        <w:spacing w:beforeAutospacing="0" w:afterAutospacing="0"/>
        <w:jc w:val="left"/>
        <w:rPr>
          <w:sz w:val="24"/>
          <w:szCs w:val="24"/>
          <w:lang w:val="en-GB"/>
        </w:rPr>
      </w:pPr>
      <w:r w:rsidRPr="00336E79">
        <w:rPr>
          <w:sz w:val="24"/>
          <w:szCs w:val="24"/>
          <w:lang w:val="en-GB"/>
        </w:rPr>
        <w:t>create new employees and block the ones with a terminated contract (as stated in the monthly excel sheet).</w:t>
      </w:r>
      <w:r>
        <w:rPr>
          <w:sz w:val="24"/>
          <w:szCs w:val="24"/>
          <w:lang w:val="en-GB"/>
        </w:rPr>
        <w:t xml:space="preserve"> Offboarding instead of blocking only applies where there is no subsequent contract.</w:t>
      </w:r>
    </w:p>
    <w:p w14:paraId="4FFA181A" w14:textId="77777777" w:rsidR="00336E79" w:rsidRPr="00336E79" w:rsidRDefault="00336E79" w:rsidP="00336E79">
      <w:pPr>
        <w:pStyle w:val="ListParagraph"/>
        <w:numPr>
          <w:ilvl w:val="0"/>
          <w:numId w:val="1"/>
        </w:numPr>
        <w:spacing w:beforeAutospacing="0" w:afterAutospacing="0"/>
        <w:jc w:val="left"/>
        <w:rPr>
          <w:sz w:val="24"/>
          <w:szCs w:val="24"/>
          <w:lang w:val="en-GB"/>
        </w:rPr>
      </w:pPr>
      <w:r w:rsidRPr="00336E79">
        <w:rPr>
          <w:sz w:val="24"/>
          <w:szCs w:val="24"/>
          <w:lang w:val="en-GB"/>
        </w:rPr>
        <w:t xml:space="preserve">the gross-to-net calculations, </w:t>
      </w:r>
      <w:proofErr w:type="gramStart"/>
      <w:r w:rsidRPr="00336E79">
        <w:rPr>
          <w:sz w:val="24"/>
          <w:szCs w:val="24"/>
          <w:lang w:val="en-GB"/>
        </w:rPr>
        <w:t>taking into account</w:t>
      </w:r>
      <w:proofErr w:type="gramEnd"/>
      <w:r w:rsidRPr="00336E79">
        <w:rPr>
          <w:sz w:val="24"/>
          <w:szCs w:val="24"/>
          <w:lang w:val="en-GB"/>
        </w:rPr>
        <w:t xml:space="preserve"> that some colleagues are employed in the two staff categories (but only one </w:t>
      </w:r>
      <w:proofErr w:type="spellStart"/>
      <w:r w:rsidRPr="00336E79">
        <w:rPr>
          <w:i/>
          <w:iCs/>
          <w:sz w:val="24"/>
          <w:szCs w:val="24"/>
          <w:lang w:val="en-GB"/>
        </w:rPr>
        <w:t>loonheffingskorting</w:t>
      </w:r>
      <w:proofErr w:type="spellEnd"/>
      <w:r w:rsidRPr="00336E79">
        <w:rPr>
          <w:sz w:val="24"/>
          <w:szCs w:val="24"/>
          <w:lang w:val="en-GB"/>
        </w:rPr>
        <w:t xml:space="preserve"> needs to be applied), a holiday allowance in May (AAS only), reimbursement of 50% of the costs for staff using public transport for commuting;</w:t>
      </w:r>
    </w:p>
    <w:p w14:paraId="487B7543" w14:textId="6353EF1D" w:rsidR="00336E79" w:rsidRPr="00336E79" w:rsidRDefault="00336E79" w:rsidP="00336E79">
      <w:pPr>
        <w:pStyle w:val="ListParagraph"/>
        <w:numPr>
          <w:ilvl w:val="0"/>
          <w:numId w:val="1"/>
        </w:numPr>
        <w:spacing w:beforeAutospacing="0" w:afterAutospacing="0"/>
        <w:jc w:val="left"/>
        <w:rPr>
          <w:sz w:val="24"/>
          <w:szCs w:val="24"/>
          <w:lang w:val="en-GB"/>
        </w:rPr>
      </w:pPr>
      <w:r w:rsidRPr="00336E79">
        <w:rPr>
          <w:sz w:val="24"/>
          <w:szCs w:val="24"/>
          <w:lang w:val="en-GB"/>
        </w:rPr>
        <w:t xml:space="preserve">the calculation of the </w:t>
      </w:r>
      <w:proofErr w:type="spellStart"/>
      <w:r w:rsidRPr="00336E79">
        <w:rPr>
          <w:i/>
          <w:iCs/>
          <w:sz w:val="24"/>
          <w:szCs w:val="24"/>
          <w:lang w:val="en-GB"/>
        </w:rPr>
        <w:t>loonheffing</w:t>
      </w:r>
      <w:proofErr w:type="spellEnd"/>
      <w:r w:rsidRPr="00336E79">
        <w:rPr>
          <w:sz w:val="24"/>
          <w:szCs w:val="24"/>
          <w:lang w:val="en-GB"/>
        </w:rPr>
        <w:t xml:space="preserve"> (income tax) and social security contributions (</w:t>
      </w:r>
      <w:proofErr w:type="spellStart"/>
      <w:r w:rsidRPr="00336E79">
        <w:rPr>
          <w:sz w:val="24"/>
          <w:szCs w:val="24"/>
          <w:lang w:val="en-GB"/>
        </w:rPr>
        <w:t>volksverzekeringen</w:t>
      </w:r>
      <w:proofErr w:type="spellEnd"/>
      <w:r w:rsidRPr="00336E79">
        <w:rPr>
          <w:sz w:val="24"/>
          <w:szCs w:val="24"/>
          <w:lang w:val="en-GB"/>
        </w:rPr>
        <w:t xml:space="preserve">, WIA, WW, </w:t>
      </w:r>
      <w:proofErr w:type="spellStart"/>
      <w:r w:rsidRPr="00336E79">
        <w:rPr>
          <w:sz w:val="24"/>
          <w:szCs w:val="24"/>
          <w:lang w:val="en-GB"/>
        </w:rPr>
        <w:t>Zvw</w:t>
      </w:r>
      <w:proofErr w:type="spellEnd"/>
      <w:r w:rsidRPr="00336E79">
        <w:rPr>
          <w:sz w:val="24"/>
          <w:szCs w:val="24"/>
          <w:lang w:val="en-GB"/>
        </w:rPr>
        <w:t>), including establishing the tax return</w:t>
      </w:r>
      <w:r w:rsidRPr="00336E79">
        <w:rPr>
          <w:i/>
          <w:iCs/>
          <w:sz w:val="24"/>
          <w:szCs w:val="24"/>
          <w:lang w:val="en-GB"/>
        </w:rPr>
        <w:t xml:space="preserve"> </w:t>
      </w:r>
      <w:r w:rsidRPr="00336E79">
        <w:rPr>
          <w:sz w:val="24"/>
          <w:szCs w:val="24"/>
          <w:lang w:val="en-GB"/>
        </w:rPr>
        <w:t>(“</w:t>
      </w:r>
      <w:proofErr w:type="spellStart"/>
      <w:r w:rsidRPr="00336E79">
        <w:rPr>
          <w:sz w:val="24"/>
          <w:szCs w:val="24"/>
          <w:lang w:val="en-GB"/>
        </w:rPr>
        <w:t>aangifte</w:t>
      </w:r>
      <w:proofErr w:type="spellEnd"/>
      <w:r w:rsidRPr="00336E79">
        <w:rPr>
          <w:sz w:val="24"/>
          <w:szCs w:val="24"/>
          <w:lang w:val="en-GB"/>
        </w:rPr>
        <w:t xml:space="preserve">”) sent directly to the </w:t>
      </w:r>
      <w:proofErr w:type="spellStart"/>
      <w:r w:rsidRPr="00336E79">
        <w:rPr>
          <w:i/>
          <w:iCs/>
          <w:sz w:val="24"/>
          <w:szCs w:val="24"/>
          <w:lang w:val="en-GB"/>
        </w:rPr>
        <w:t>Belastingdienst</w:t>
      </w:r>
      <w:proofErr w:type="spellEnd"/>
      <w:r w:rsidRPr="00336E79">
        <w:rPr>
          <w:sz w:val="24"/>
          <w:szCs w:val="24"/>
          <w:lang w:val="en-GB"/>
        </w:rPr>
        <w:t xml:space="preserve"> and the debit note to be processed for payment by the contracting authority </w:t>
      </w:r>
      <w:proofErr w:type="gramStart"/>
      <w:r w:rsidRPr="00336E79">
        <w:rPr>
          <w:sz w:val="24"/>
          <w:szCs w:val="24"/>
          <w:lang w:val="en-GB"/>
        </w:rPr>
        <w:t>on a monthly basis</w:t>
      </w:r>
      <w:proofErr w:type="gramEnd"/>
      <w:r w:rsidRPr="00336E79">
        <w:rPr>
          <w:sz w:val="24"/>
          <w:szCs w:val="24"/>
          <w:lang w:val="en-GB"/>
        </w:rPr>
        <w:t>.</w:t>
      </w:r>
    </w:p>
    <w:p w14:paraId="434E60AF" w14:textId="77777777" w:rsidR="00336E79" w:rsidRPr="00336E79" w:rsidRDefault="00336E79" w:rsidP="00336E79">
      <w:pPr>
        <w:pStyle w:val="ListParagraph"/>
        <w:numPr>
          <w:ilvl w:val="0"/>
          <w:numId w:val="1"/>
        </w:numPr>
        <w:spacing w:beforeAutospacing="0" w:afterAutospacing="0"/>
        <w:jc w:val="left"/>
        <w:rPr>
          <w:sz w:val="24"/>
          <w:szCs w:val="24"/>
          <w:lang w:val="en-GB"/>
        </w:rPr>
      </w:pPr>
      <w:r w:rsidRPr="00336E79">
        <w:rPr>
          <w:sz w:val="24"/>
          <w:szCs w:val="24"/>
          <w:lang w:val="en-GB"/>
        </w:rPr>
        <w:t xml:space="preserve">the calculation of deductions such as pension contributions (the individual’s/employee’s pension contribution), the 30% ruling for expats (where applicable), </w:t>
      </w:r>
      <w:proofErr w:type="spellStart"/>
      <w:r w:rsidRPr="00336E79">
        <w:rPr>
          <w:i/>
          <w:iCs/>
          <w:sz w:val="24"/>
          <w:szCs w:val="24"/>
          <w:lang w:val="en-GB"/>
        </w:rPr>
        <w:t>personeelsvereniging</w:t>
      </w:r>
      <w:proofErr w:type="spellEnd"/>
      <w:r w:rsidRPr="00336E79">
        <w:rPr>
          <w:sz w:val="24"/>
          <w:szCs w:val="24"/>
          <w:lang w:val="en-GB"/>
        </w:rPr>
        <w:t xml:space="preserve">, </w:t>
      </w:r>
      <w:proofErr w:type="spellStart"/>
      <w:r w:rsidRPr="00336E79">
        <w:rPr>
          <w:i/>
          <w:iCs/>
          <w:sz w:val="24"/>
          <w:szCs w:val="24"/>
          <w:lang w:val="en-GB"/>
        </w:rPr>
        <w:t>ongevallenverzekering</w:t>
      </w:r>
      <w:proofErr w:type="spellEnd"/>
      <w:r w:rsidRPr="00336E79">
        <w:rPr>
          <w:sz w:val="24"/>
          <w:szCs w:val="24"/>
          <w:lang w:val="en-GB"/>
        </w:rPr>
        <w:t>, or additional employee contributions to the pension scheme.</w:t>
      </w:r>
    </w:p>
    <w:p w14:paraId="465D6583" w14:textId="23A653E6" w:rsidR="0065232F" w:rsidRDefault="0065232F" w:rsidP="00336E79">
      <w:pPr>
        <w:pStyle w:val="ListParagraph"/>
        <w:numPr>
          <w:ilvl w:val="0"/>
          <w:numId w:val="1"/>
        </w:numPr>
        <w:spacing w:beforeAutospacing="0" w:afterAutospacing="0"/>
        <w:jc w:val="left"/>
        <w:rPr>
          <w:sz w:val="24"/>
          <w:szCs w:val="24"/>
          <w:lang w:val="en-GB"/>
        </w:rPr>
      </w:pPr>
      <w:r>
        <w:rPr>
          <w:sz w:val="24"/>
          <w:szCs w:val="24"/>
          <w:lang w:val="en-GB"/>
        </w:rPr>
        <w:t xml:space="preserve">updates the </w:t>
      </w:r>
      <w:r w:rsidRPr="0065232F">
        <w:rPr>
          <w:sz w:val="24"/>
          <w:szCs w:val="24"/>
          <w:lang w:val="en-GB"/>
        </w:rPr>
        <w:t xml:space="preserve">system </w:t>
      </w:r>
      <w:r>
        <w:rPr>
          <w:sz w:val="24"/>
          <w:szCs w:val="24"/>
          <w:lang w:val="en-GB"/>
        </w:rPr>
        <w:t xml:space="preserve">when </w:t>
      </w:r>
      <w:r w:rsidRPr="0065232F">
        <w:rPr>
          <w:sz w:val="24"/>
          <w:szCs w:val="24"/>
          <w:lang w:val="en-GB"/>
        </w:rPr>
        <w:t>collective labo</w:t>
      </w:r>
      <w:r>
        <w:rPr>
          <w:sz w:val="24"/>
          <w:szCs w:val="24"/>
          <w:lang w:val="en-GB"/>
        </w:rPr>
        <w:t>u</w:t>
      </w:r>
      <w:r w:rsidRPr="0065232F">
        <w:rPr>
          <w:sz w:val="24"/>
          <w:szCs w:val="24"/>
          <w:lang w:val="en-GB"/>
        </w:rPr>
        <w:t xml:space="preserve">r agreements </w:t>
      </w:r>
      <w:r>
        <w:rPr>
          <w:sz w:val="24"/>
          <w:szCs w:val="24"/>
          <w:lang w:val="en-GB"/>
        </w:rPr>
        <w:t xml:space="preserve">or service regulations (see the list below) require </w:t>
      </w:r>
      <w:proofErr w:type="gramStart"/>
      <w:r>
        <w:rPr>
          <w:sz w:val="24"/>
          <w:szCs w:val="24"/>
          <w:lang w:val="en-GB"/>
        </w:rPr>
        <w:t>to do</w:t>
      </w:r>
      <w:proofErr w:type="gramEnd"/>
      <w:r>
        <w:rPr>
          <w:sz w:val="24"/>
          <w:szCs w:val="24"/>
          <w:lang w:val="en-GB"/>
        </w:rPr>
        <w:t xml:space="preserve"> so</w:t>
      </w:r>
      <w:r w:rsidRPr="0065232F">
        <w:rPr>
          <w:sz w:val="24"/>
          <w:szCs w:val="24"/>
          <w:lang w:val="en-GB"/>
        </w:rPr>
        <w:t xml:space="preserve">, </w:t>
      </w:r>
    </w:p>
    <w:p w14:paraId="049BDA72" w14:textId="66F6EDD9" w:rsidR="0065232F" w:rsidRPr="0065232F" w:rsidRDefault="0065232F" w:rsidP="00336E79">
      <w:pPr>
        <w:pStyle w:val="ListParagraph"/>
        <w:numPr>
          <w:ilvl w:val="0"/>
          <w:numId w:val="1"/>
        </w:numPr>
        <w:spacing w:beforeAutospacing="0" w:afterAutospacing="0"/>
        <w:jc w:val="left"/>
        <w:rPr>
          <w:sz w:val="24"/>
          <w:szCs w:val="24"/>
          <w:lang w:val="en-GB"/>
        </w:rPr>
      </w:pPr>
      <w:r w:rsidRPr="0065232F">
        <w:rPr>
          <w:sz w:val="24"/>
          <w:szCs w:val="24"/>
          <w:lang w:val="en-GB"/>
        </w:rPr>
        <w:t xml:space="preserve">proactively ensures full compliance with changing Dutch </w:t>
      </w:r>
      <w:proofErr w:type="spellStart"/>
      <w:r w:rsidRPr="0065232F">
        <w:rPr>
          <w:sz w:val="24"/>
          <w:szCs w:val="24"/>
          <w:lang w:val="en-GB"/>
        </w:rPr>
        <w:t>labor</w:t>
      </w:r>
      <w:proofErr w:type="spellEnd"/>
      <w:r w:rsidRPr="0065232F">
        <w:rPr>
          <w:sz w:val="24"/>
          <w:szCs w:val="24"/>
          <w:lang w:val="en-GB"/>
        </w:rPr>
        <w:t xml:space="preserve"> laws and tax regulations</w:t>
      </w:r>
    </w:p>
    <w:p w14:paraId="30DFEF25" w14:textId="3B0EEB15" w:rsidR="00336E79" w:rsidRPr="00336E79" w:rsidRDefault="00336E79" w:rsidP="00336E79">
      <w:pPr>
        <w:pStyle w:val="ListParagraph"/>
        <w:numPr>
          <w:ilvl w:val="0"/>
          <w:numId w:val="1"/>
        </w:numPr>
        <w:spacing w:beforeAutospacing="0" w:afterAutospacing="0"/>
        <w:jc w:val="left"/>
        <w:rPr>
          <w:sz w:val="24"/>
          <w:szCs w:val="24"/>
          <w:lang w:val="en-GB"/>
        </w:rPr>
      </w:pPr>
      <w:r w:rsidRPr="00336E79">
        <w:rPr>
          <w:sz w:val="24"/>
          <w:szCs w:val="24"/>
          <w:lang w:val="en-GB"/>
        </w:rPr>
        <w:t>the preparation of the SEPA payment file of the salaries for upload in SAP.</w:t>
      </w:r>
    </w:p>
    <w:p w14:paraId="19E6228E" w14:textId="77777777" w:rsidR="00336E79" w:rsidRPr="00336E79" w:rsidRDefault="00336E79" w:rsidP="00336E79">
      <w:pPr>
        <w:pStyle w:val="ListParagraph"/>
        <w:numPr>
          <w:ilvl w:val="0"/>
          <w:numId w:val="1"/>
        </w:numPr>
        <w:spacing w:beforeAutospacing="0" w:afterAutospacing="0"/>
        <w:jc w:val="left"/>
        <w:rPr>
          <w:sz w:val="24"/>
          <w:szCs w:val="24"/>
          <w:lang w:val="en-GB"/>
        </w:rPr>
      </w:pPr>
      <w:r w:rsidRPr="00336E79">
        <w:rPr>
          <w:sz w:val="24"/>
          <w:szCs w:val="24"/>
          <w:lang w:val="en-GB"/>
        </w:rPr>
        <w:lastRenderedPageBreak/>
        <w:t>the preparation of the journal entry for upload in SAP.</w:t>
      </w:r>
    </w:p>
    <w:p w14:paraId="2CC85956" w14:textId="3D37A0F2" w:rsidR="00336E79" w:rsidRPr="00336E79" w:rsidRDefault="00336E79" w:rsidP="00336E79">
      <w:pPr>
        <w:pStyle w:val="ListParagraph"/>
        <w:numPr>
          <w:ilvl w:val="0"/>
          <w:numId w:val="1"/>
        </w:numPr>
        <w:spacing w:beforeAutospacing="0" w:afterAutospacing="0"/>
        <w:jc w:val="left"/>
        <w:rPr>
          <w:sz w:val="24"/>
          <w:szCs w:val="24"/>
          <w:lang w:val="en-GB"/>
        </w:rPr>
      </w:pPr>
      <w:r w:rsidRPr="00336E79">
        <w:rPr>
          <w:sz w:val="24"/>
          <w:szCs w:val="24"/>
          <w:lang w:val="en-GB"/>
        </w:rPr>
        <w:t xml:space="preserve">the generation of fully updated monthly payslips and yearly </w:t>
      </w:r>
      <w:proofErr w:type="spellStart"/>
      <w:r w:rsidRPr="00336E79">
        <w:rPr>
          <w:i/>
          <w:iCs/>
          <w:sz w:val="24"/>
          <w:szCs w:val="24"/>
          <w:lang w:val="en-GB"/>
        </w:rPr>
        <w:t>jaaropgaven</w:t>
      </w:r>
      <w:proofErr w:type="spellEnd"/>
      <w:r w:rsidRPr="00336E79">
        <w:rPr>
          <w:sz w:val="24"/>
          <w:szCs w:val="24"/>
          <w:lang w:val="en-GB"/>
        </w:rPr>
        <w:t xml:space="preserve"> (and corrections) on a platform accessible to all staff members + retention of 7 min</w:t>
      </w:r>
      <w:r>
        <w:rPr>
          <w:sz w:val="24"/>
          <w:szCs w:val="24"/>
          <w:lang w:val="en-GB"/>
        </w:rPr>
        <w:t>imum</w:t>
      </w:r>
      <w:r w:rsidRPr="00336E79">
        <w:rPr>
          <w:sz w:val="24"/>
          <w:szCs w:val="24"/>
          <w:lang w:val="en-GB"/>
        </w:rPr>
        <w:t xml:space="preserve"> years. Note that especially the full-time equivalent of LRT can be volatile.</w:t>
      </w:r>
    </w:p>
    <w:p w14:paraId="1D17F11D" w14:textId="77777777" w:rsidR="00336E79" w:rsidRPr="00336E79" w:rsidRDefault="00336E79" w:rsidP="00336E79">
      <w:pPr>
        <w:pStyle w:val="ListParagraph"/>
        <w:numPr>
          <w:ilvl w:val="0"/>
          <w:numId w:val="1"/>
        </w:numPr>
        <w:spacing w:beforeAutospacing="0" w:afterAutospacing="0"/>
        <w:jc w:val="left"/>
        <w:rPr>
          <w:sz w:val="24"/>
          <w:szCs w:val="24"/>
          <w:lang w:val="en-GB"/>
        </w:rPr>
      </w:pPr>
      <w:r w:rsidRPr="00336E79">
        <w:rPr>
          <w:sz w:val="24"/>
          <w:szCs w:val="24"/>
          <w:lang w:val="en-GB"/>
        </w:rPr>
        <w:t>the generation of documents for internal control purposes:</w:t>
      </w:r>
    </w:p>
    <w:p w14:paraId="3A89BA34" w14:textId="77777777" w:rsidR="00336E79" w:rsidRPr="00336E79" w:rsidRDefault="00336E79" w:rsidP="00336E79">
      <w:pPr>
        <w:pStyle w:val="ListParagraph"/>
        <w:numPr>
          <w:ilvl w:val="1"/>
          <w:numId w:val="1"/>
        </w:numPr>
        <w:spacing w:beforeAutospacing="0" w:afterAutospacing="0"/>
        <w:jc w:val="left"/>
        <w:rPr>
          <w:sz w:val="22"/>
          <w:szCs w:val="22"/>
          <w:lang w:val="en-GB"/>
        </w:rPr>
      </w:pPr>
      <w:r w:rsidRPr="00336E79">
        <w:rPr>
          <w:sz w:val="22"/>
          <w:szCs w:val="22"/>
          <w:lang w:val="en-GB"/>
        </w:rPr>
        <w:t xml:space="preserve">Full list of staff including all the remuneration components </w:t>
      </w:r>
    </w:p>
    <w:p w14:paraId="50B94078" w14:textId="77777777" w:rsidR="00336E79" w:rsidRPr="00336E79" w:rsidRDefault="00336E79" w:rsidP="00336E79">
      <w:pPr>
        <w:pStyle w:val="ListParagraph"/>
        <w:numPr>
          <w:ilvl w:val="1"/>
          <w:numId w:val="1"/>
        </w:numPr>
        <w:spacing w:beforeAutospacing="0" w:afterAutospacing="0"/>
        <w:jc w:val="left"/>
        <w:rPr>
          <w:sz w:val="22"/>
          <w:szCs w:val="22"/>
          <w:lang w:val="en-GB"/>
        </w:rPr>
      </w:pPr>
      <w:r w:rsidRPr="00336E79">
        <w:rPr>
          <w:sz w:val="22"/>
          <w:szCs w:val="22"/>
          <w:lang w:val="en-GB"/>
        </w:rPr>
        <w:t>List of bank transfers (SEPA file)</w:t>
      </w:r>
    </w:p>
    <w:p w14:paraId="6DEB24CA" w14:textId="77777777" w:rsidR="00336E79" w:rsidRPr="00336E79" w:rsidRDefault="00336E79" w:rsidP="00336E79">
      <w:pPr>
        <w:pStyle w:val="ListParagraph"/>
        <w:numPr>
          <w:ilvl w:val="1"/>
          <w:numId w:val="1"/>
        </w:numPr>
        <w:spacing w:beforeAutospacing="0" w:afterAutospacing="0"/>
        <w:jc w:val="left"/>
        <w:rPr>
          <w:sz w:val="22"/>
          <w:szCs w:val="22"/>
          <w:lang w:val="en-GB"/>
        </w:rPr>
      </w:pPr>
      <w:r w:rsidRPr="00336E79">
        <w:rPr>
          <w:sz w:val="22"/>
          <w:szCs w:val="22"/>
          <w:lang w:val="en-GB"/>
        </w:rPr>
        <w:t>Summary document explaining changes, also when more than one run has been generated</w:t>
      </w:r>
    </w:p>
    <w:p w14:paraId="70EF5A7B" w14:textId="77777777" w:rsidR="00336E79" w:rsidRPr="00336E79" w:rsidRDefault="00336E79" w:rsidP="00336E79">
      <w:pPr>
        <w:pStyle w:val="ListParagraph"/>
        <w:numPr>
          <w:ilvl w:val="1"/>
          <w:numId w:val="1"/>
        </w:numPr>
        <w:spacing w:beforeAutospacing="0" w:afterAutospacing="0"/>
        <w:jc w:val="left"/>
        <w:rPr>
          <w:sz w:val="22"/>
          <w:szCs w:val="22"/>
          <w:lang w:val="en-GB"/>
        </w:rPr>
      </w:pPr>
      <w:r w:rsidRPr="00336E79">
        <w:rPr>
          <w:sz w:val="22"/>
          <w:szCs w:val="22"/>
          <w:lang w:val="en-GB"/>
        </w:rPr>
        <w:t xml:space="preserve">Comparison to previous month (amount, number of staff) </w:t>
      </w:r>
    </w:p>
    <w:p w14:paraId="296F1FB0" w14:textId="77777777" w:rsidR="00336E79" w:rsidRPr="00336E79" w:rsidRDefault="00336E79" w:rsidP="00336E79">
      <w:pPr>
        <w:pStyle w:val="ListParagraph"/>
        <w:numPr>
          <w:ilvl w:val="1"/>
          <w:numId w:val="1"/>
        </w:numPr>
        <w:spacing w:beforeAutospacing="0" w:afterAutospacing="0"/>
        <w:jc w:val="left"/>
        <w:rPr>
          <w:sz w:val="22"/>
          <w:szCs w:val="22"/>
          <w:lang w:val="en-GB"/>
        </w:rPr>
      </w:pPr>
      <w:r w:rsidRPr="00336E79">
        <w:rPr>
          <w:sz w:val="22"/>
          <w:szCs w:val="22"/>
          <w:lang w:val="en-GB"/>
        </w:rPr>
        <w:t xml:space="preserve">Rationality of allowances granted (e.g. installation allowance, travel expenses…) </w:t>
      </w:r>
    </w:p>
    <w:p w14:paraId="23AEAAF6" w14:textId="4F6DFFB9" w:rsidR="00271B9D" w:rsidRPr="00AE1B54" w:rsidRDefault="00271B9D" w:rsidP="00336E79">
      <w:r>
        <w:t xml:space="preserve">On an occasional basis, </w:t>
      </w:r>
      <w:r w:rsidRPr="00271B9D">
        <w:t>the Contractor will provide ad-hoc tax consultancy services to assist employees with their personal income tax declarations. The scope encompasses standard annual filings, optimi</w:t>
      </w:r>
      <w:r>
        <w:t>s</w:t>
      </w:r>
      <w:r w:rsidRPr="00271B9D">
        <w:t>ation of deductions, and speciali</w:t>
      </w:r>
      <w:r>
        <w:t>s</w:t>
      </w:r>
      <w:r w:rsidRPr="00271B9D">
        <w:t xml:space="preserve">ed cross-border support, such as the 30% ruling for </w:t>
      </w:r>
      <w:r>
        <w:t>expats</w:t>
      </w:r>
      <w:r w:rsidRPr="00271B9D">
        <w:t xml:space="preserve">. The Contractor must deliver these services in both Dutch and English. </w:t>
      </w:r>
      <w:r>
        <w:t>A</w:t>
      </w:r>
      <w:r w:rsidRPr="00271B9D">
        <w:t>ll individual assignments require prior internal approval.</w:t>
      </w:r>
    </w:p>
    <w:p w14:paraId="7D5637B9" w14:textId="77777777" w:rsidR="00336E79" w:rsidRDefault="00336E79" w:rsidP="00336E79">
      <w:r>
        <w:t>Depending on the staff category, employees can be entitled at onboarding and at offboarding to several allowances (installation allowance, departure allowance, installation allowance). For more information consult the applicable service regulations, as updated from time to time:</w:t>
      </w:r>
    </w:p>
    <w:p w14:paraId="6FA49EAD" w14:textId="77777777" w:rsidR="00336E79" w:rsidRDefault="00336E79" w:rsidP="00336E79">
      <w:pPr>
        <w:pStyle w:val="ListParagraph"/>
        <w:numPr>
          <w:ilvl w:val="0"/>
          <w:numId w:val="1"/>
        </w:numPr>
        <w:spacing w:beforeAutospacing="0" w:afterAutospacing="0"/>
        <w:jc w:val="left"/>
        <w:rPr>
          <w:lang w:val="en-GB"/>
        </w:rPr>
      </w:pPr>
      <w:hyperlink r:id="rId9" w:history="1">
        <w:r w:rsidRPr="002B7EBA">
          <w:rPr>
            <w:rStyle w:val="Hyperlink"/>
            <w:lang w:val="en-GB"/>
          </w:rPr>
          <w:t>https://www.eursc.eu/BasicTexts/2007-D-153-en-18.pdf</w:t>
        </w:r>
      </w:hyperlink>
      <w:r>
        <w:rPr>
          <w:lang w:val="en-GB"/>
        </w:rPr>
        <w:t xml:space="preserve"> for AAS</w:t>
      </w:r>
    </w:p>
    <w:p w14:paraId="19685766" w14:textId="77777777" w:rsidR="00336E79" w:rsidRDefault="00336E79" w:rsidP="00336E79">
      <w:pPr>
        <w:pStyle w:val="ListParagraph"/>
        <w:numPr>
          <w:ilvl w:val="0"/>
          <w:numId w:val="1"/>
        </w:numPr>
        <w:spacing w:beforeAutospacing="0" w:afterAutospacing="0"/>
        <w:jc w:val="left"/>
        <w:rPr>
          <w:lang w:val="en-GB"/>
        </w:rPr>
      </w:pPr>
      <w:hyperlink r:id="rId10" w:history="1">
        <w:r w:rsidRPr="002B7EBA">
          <w:rPr>
            <w:rStyle w:val="Hyperlink"/>
            <w:lang w:val="en-GB"/>
          </w:rPr>
          <w:t>https://www.eursc.eu/BasicTexts/2016-05-D-11-en-19.pdf</w:t>
        </w:r>
      </w:hyperlink>
      <w:r>
        <w:rPr>
          <w:lang w:val="en-GB"/>
        </w:rPr>
        <w:t xml:space="preserve"> for LRT</w:t>
      </w:r>
    </w:p>
    <w:p w14:paraId="5C03B396" w14:textId="57485C5B" w:rsidR="00271B9D" w:rsidRPr="00271B9D" w:rsidRDefault="00336E79" w:rsidP="00336E79">
      <w:pPr>
        <w:pStyle w:val="ListParagraph"/>
        <w:numPr>
          <w:ilvl w:val="0"/>
          <w:numId w:val="1"/>
        </w:numPr>
        <w:spacing w:beforeAutospacing="0" w:afterAutospacing="0"/>
        <w:jc w:val="left"/>
        <w:rPr>
          <w:lang w:val="en-GB"/>
        </w:rPr>
      </w:pPr>
      <w:hyperlink r:id="rId11" w:history="1">
        <w:r w:rsidRPr="002B7EBA">
          <w:rPr>
            <w:rStyle w:val="Hyperlink"/>
            <w:lang w:val="en-GB"/>
          </w:rPr>
          <w:t>https://www.eursc.eu/BasicTexts/2020-04-D-23-en-5.pdf</w:t>
        </w:r>
      </w:hyperlink>
      <w:r>
        <w:rPr>
          <w:lang w:val="en-GB"/>
        </w:rPr>
        <w:t xml:space="preserve"> for LRM</w:t>
      </w:r>
    </w:p>
    <w:p w14:paraId="35AEB2A6" w14:textId="5C2E332E" w:rsidR="00271B9D" w:rsidRPr="00271B9D" w:rsidRDefault="00271B9D" w:rsidP="00336E79">
      <w:pPr>
        <w:rPr>
          <w:rFonts w:ascii="Garamond" w:hAnsi="Garamond"/>
          <w:color w:val="000000"/>
          <w:lang w:val="en-US"/>
        </w:rPr>
      </w:pPr>
      <w:r w:rsidRPr="00271B9D">
        <w:rPr>
          <w:rFonts w:ascii="Garamond" w:hAnsi="Garamond"/>
          <w:color w:val="000000"/>
          <w:lang w:val="en-US"/>
        </w:rPr>
        <w:t>Opti</w:t>
      </w:r>
      <w:r>
        <w:rPr>
          <w:rFonts w:ascii="Garamond" w:hAnsi="Garamond"/>
          <w:color w:val="000000"/>
          <w:lang w:val="en-US"/>
        </w:rPr>
        <w:t>on</w:t>
      </w:r>
      <w:r w:rsidRPr="00271B9D">
        <w:rPr>
          <w:rFonts w:ascii="Garamond" w:hAnsi="Garamond"/>
          <w:color w:val="000000"/>
          <w:lang w:val="en-US"/>
        </w:rPr>
        <w:t xml:space="preserve"> </w:t>
      </w:r>
      <w:r>
        <w:rPr>
          <w:rFonts w:ascii="Garamond" w:hAnsi="Garamond"/>
          <w:color w:val="000000"/>
          <w:lang w:val="en-US"/>
        </w:rPr>
        <w:t>–</w:t>
      </w:r>
      <w:r w:rsidRPr="00271B9D">
        <w:rPr>
          <w:rFonts w:ascii="Garamond" w:hAnsi="Garamond"/>
          <w:color w:val="000000"/>
          <w:lang w:val="en-US"/>
        </w:rPr>
        <w:t xml:space="preserve"> </w:t>
      </w:r>
      <w:r>
        <w:rPr>
          <w:rFonts w:ascii="Garamond" w:hAnsi="Garamond"/>
          <w:color w:val="000000"/>
          <w:lang w:val="en-US"/>
        </w:rPr>
        <w:t>Pension contributions</w:t>
      </w:r>
    </w:p>
    <w:p w14:paraId="6B24D6A7" w14:textId="77777777" w:rsidR="00271B9D" w:rsidRDefault="00271B9D" w:rsidP="00271B9D">
      <w:r w:rsidRPr="00AE1B54">
        <w:t>If possible, the staff’s variables relevant for the calculation of the employee’s and employer’s pension scheme contributions are updated automatically to the pension scheme provider ensuring real-time monthly updates.</w:t>
      </w:r>
    </w:p>
    <w:p w14:paraId="58A249CC" w14:textId="4E70C0E4" w:rsidR="00271B9D" w:rsidRDefault="00271B9D" w:rsidP="00271B9D">
      <w:pPr>
        <w:rPr>
          <w:rFonts w:ascii="Garamond" w:hAnsi="Garamond"/>
          <w:color w:val="000000"/>
        </w:rPr>
      </w:pPr>
      <w:r>
        <w:rPr>
          <w:rFonts w:ascii="Garamond" w:hAnsi="Garamond"/>
          <w:color w:val="000000"/>
        </w:rPr>
        <w:t>Variant</w:t>
      </w:r>
      <w:r>
        <w:rPr>
          <w:rFonts w:ascii="Garamond" w:hAnsi="Garamond"/>
          <w:color w:val="000000"/>
        </w:rPr>
        <w:t xml:space="preserve"> – managed services</w:t>
      </w:r>
    </w:p>
    <w:p w14:paraId="2C82F287" w14:textId="79F1E429" w:rsidR="00271B9D" w:rsidRDefault="00271B9D" w:rsidP="00271B9D">
      <w:r>
        <w:t xml:space="preserve">Standard payroll administration provides only the software platform, leaving data entry, updates, and final verification to </w:t>
      </w:r>
      <w:r>
        <w:t>the Contracting authority’s</w:t>
      </w:r>
      <w:r>
        <w:t xml:space="preserve"> own staff. In contrast, </w:t>
      </w:r>
      <w:r>
        <w:t xml:space="preserve">with managed services are to be understood that the </w:t>
      </w:r>
      <w:r>
        <w:t>operational workload</w:t>
      </w:r>
      <w:r>
        <w:t xml:space="preserve"> is </w:t>
      </w:r>
      <w:r w:rsidR="0065232F">
        <w:t>performed by the Contractor</w:t>
      </w:r>
      <w:r>
        <w:t>.</w:t>
      </w:r>
    </w:p>
    <w:p w14:paraId="750E7C9B" w14:textId="0CEB62F9" w:rsidR="00192AA3" w:rsidRPr="00271B9D" w:rsidRDefault="00271B9D" w:rsidP="00271B9D">
      <w:r>
        <w:t xml:space="preserve">Under this service, </w:t>
      </w:r>
      <w:r w:rsidR="0065232F">
        <w:t xml:space="preserve">the </w:t>
      </w:r>
      <w:r w:rsidR="0065232F">
        <w:t>Contractor</w:t>
      </w:r>
      <w:r w:rsidR="0065232F">
        <w:t xml:space="preserve"> </w:t>
      </w:r>
      <w:r>
        <w:t>handles the processing and validation of all personnel mutations. The</w:t>
      </w:r>
      <w:r w:rsidR="0065232F">
        <w:t xml:space="preserve"> Contractor</w:t>
      </w:r>
      <w:r>
        <w:t xml:space="preserve"> </w:t>
      </w:r>
      <w:r w:rsidR="0065232F">
        <w:t xml:space="preserve">maintains the </w:t>
      </w:r>
      <w:r>
        <w:t>manage</w:t>
      </w:r>
      <w:r w:rsidR="0065232F">
        <w:t>ment of</w:t>
      </w:r>
      <w:r>
        <w:t xml:space="preserve"> data streams to the tax authorities and pension funds</w:t>
      </w:r>
      <w:r w:rsidR="0065232F">
        <w:t>, the latter as per the Option</w:t>
      </w:r>
      <w:r>
        <w:t>, which guarantees business continuity and eliminates operational risks during internal staff shortages or sickness.</w:t>
      </w:r>
    </w:p>
    <w:sectPr w:rsidR="00192AA3" w:rsidRPr="00271B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697E" w14:textId="77777777" w:rsidR="00336E79" w:rsidRDefault="00336E79" w:rsidP="005A5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0E290" w14:textId="77777777" w:rsidR="00336E79" w:rsidRDefault="00336E79" w:rsidP="00EA64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924D" w14:textId="77777777" w:rsidR="00336E79" w:rsidRDefault="00336E79" w:rsidP="005A5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A36BF0" w14:textId="77777777" w:rsidR="00336E79" w:rsidRDefault="00336E79" w:rsidP="00EA64A6">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74E1" w14:textId="77777777" w:rsidR="00336E79" w:rsidRPr="00036989" w:rsidRDefault="00336E79" w:rsidP="00F104A5">
    <w:pPr>
      <w:pStyle w:val="Header"/>
      <w:spacing w:before="0" w:beforeAutospacing="0" w:after="0" w:afterAutospacing="0" w:line="276" w:lineRule="auto"/>
      <w:jc w:val="left"/>
      <w:rPr>
        <w:rFonts w:ascii="Garamond" w:hAnsi="Garamond"/>
        <w:sz w:val="18"/>
        <w:szCs w:val="18"/>
        <w:lang w:val="en-US"/>
      </w:rPr>
    </w:pPr>
    <w:r>
      <w:rPr>
        <w:rFonts w:ascii="Garamond" w:hAnsi="Garamond"/>
        <w:sz w:val="18"/>
        <w:szCs w:val="18"/>
        <w:lang w:val="en-US"/>
      </w:rPr>
      <w:t>Version of 2022/07</w:t>
    </w:r>
    <w:r>
      <w:rPr>
        <w:rFonts w:ascii="Garamond" w:hAnsi="Garamond"/>
        <w:sz w:val="18"/>
        <w:szCs w:val="18"/>
        <w:lang w:val="en-US"/>
      </w:rPr>
      <w:tab/>
    </w:r>
    <w:r>
      <w:rPr>
        <w:rFonts w:ascii="Garamond" w:hAnsi="Garamond"/>
        <w:sz w:val="18"/>
        <w:szCs w:val="18"/>
        <w:lang w:val="en-US"/>
      </w:rPr>
      <w:tab/>
    </w:r>
    <w:r w:rsidRPr="00036989">
      <w:rPr>
        <w:rFonts w:ascii="Garamond" w:hAnsi="Garamond"/>
        <w:sz w:val="18"/>
        <w:szCs w:val="18"/>
        <w:lang w:val="en-US"/>
      </w:rPr>
      <w:t>Tender n°</w:t>
    </w:r>
    <w:r>
      <w:rPr>
        <w:rFonts w:ascii="Garamond" w:hAnsi="Garamond"/>
        <w:sz w:val="18"/>
        <w:szCs w:val="18"/>
        <w:lang w:val="en-US"/>
      </w:rPr>
      <w:t xml:space="preserve"> 2025.03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05D3"/>
    <w:multiLevelType w:val="hybridMultilevel"/>
    <w:tmpl w:val="2472911C"/>
    <w:lvl w:ilvl="0" w:tplc="9B4E6F44">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3381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79"/>
    <w:rsid w:val="00077684"/>
    <w:rsid w:val="000D1C58"/>
    <w:rsid w:val="00180F85"/>
    <w:rsid w:val="00192AA3"/>
    <w:rsid w:val="00271B9D"/>
    <w:rsid w:val="00320B64"/>
    <w:rsid w:val="00336E79"/>
    <w:rsid w:val="0065232F"/>
    <w:rsid w:val="006E6B82"/>
    <w:rsid w:val="007644B2"/>
    <w:rsid w:val="00946B04"/>
    <w:rsid w:val="00A51F80"/>
    <w:rsid w:val="00B2065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1A26"/>
  <w15:chartTrackingRefBased/>
  <w15:docId w15:val="{39FB1AF3-690A-40AE-AE2B-72BD9C0E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E79"/>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0D1C58"/>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line="276" w:lineRule="auto"/>
      <w:outlineLvl w:val="0"/>
    </w:pPr>
    <w:rPr>
      <w:rFonts w:ascii="Arial Rounded MT Bold" w:eastAsiaTheme="minorEastAsia" w:hAnsi="Arial Rounded MT Bold"/>
      <w:color w:val="FFFFFF" w:themeColor="background1"/>
      <w:spacing w:val="15"/>
    </w:rPr>
  </w:style>
  <w:style w:type="paragraph" w:styleId="Heading2">
    <w:name w:val="heading 2"/>
    <w:basedOn w:val="Normal"/>
    <w:next w:val="Normal"/>
    <w:link w:val="Heading2Char"/>
    <w:unhideWhenUsed/>
    <w:qFormat/>
    <w:rsid w:val="000D1C58"/>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line="276" w:lineRule="auto"/>
      <w:outlineLvl w:val="1"/>
    </w:pPr>
    <w:rPr>
      <w:rFonts w:eastAsiaTheme="minorEastAsia"/>
      <w:caps/>
      <w:spacing w:val="15"/>
      <w:sz w:val="20"/>
      <w:szCs w:val="20"/>
      <w:lang w:val="nl-BE"/>
    </w:rPr>
  </w:style>
  <w:style w:type="paragraph" w:styleId="Heading3">
    <w:name w:val="heading 3"/>
    <w:basedOn w:val="Normal"/>
    <w:next w:val="Normal"/>
    <w:link w:val="Heading3Char"/>
    <w:unhideWhenUsed/>
    <w:qFormat/>
    <w:rsid w:val="000D1C58"/>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336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C58"/>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336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C58"/>
    <w:rPr>
      <w:rFonts w:ascii="Arial Rounded MT Bold" w:eastAsiaTheme="minorEastAsia" w:hAnsi="Arial Rounded MT Bold"/>
      <w:color w:val="FFFFFF" w:themeColor="background1"/>
      <w:spacing w:val="15"/>
      <w:shd w:val="clear" w:color="auto" w:fill="156082" w:themeFill="accent1"/>
      <w:lang w:val="en-GB"/>
    </w:rPr>
  </w:style>
  <w:style w:type="character" w:customStyle="1" w:styleId="Heading2Char">
    <w:name w:val="Heading 2 Char"/>
    <w:basedOn w:val="DefaultParagraphFont"/>
    <w:link w:val="Heading2"/>
    <w:rsid w:val="000D1C58"/>
    <w:rPr>
      <w:rFonts w:eastAsiaTheme="minorEastAsia"/>
      <w:caps/>
      <w:spacing w:val="15"/>
      <w:sz w:val="20"/>
      <w:szCs w:val="20"/>
      <w:shd w:val="clear" w:color="auto" w:fill="C1E4F5" w:themeFill="accent1" w:themeFillTint="33"/>
      <w:lang w:val="nl-BE"/>
    </w:rPr>
  </w:style>
  <w:style w:type="character" w:customStyle="1" w:styleId="Heading3Char">
    <w:name w:val="Heading 3 Char"/>
    <w:basedOn w:val="DefaultParagraphFont"/>
    <w:link w:val="Heading3"/>
    <w:uiPriority w:val="9"/>
    <w:semiHidden/>
    <w:rsid w:val="000D1C58"/>
    <w:rPr>
      <w:rFonts w:asciiTheme="majorHAnsi" w:eastAsiaTheme="majorEastAsia" w:hAnsiTheme="majorHAnsi" w:cstheme="majorBidi"/>
      <w:color w:val="0A2F40" w:themeColor="accent1" w:themeShade="7F"/>
      <w:sz w:val="24"/>
      <w:szCs w:val="24"/>
    </w:rPr>
  </w:style>
  <w:style w:type="character" w:customStyle="1" w:styleId="Heading6Char">
    <w:name w:val="Heading 6 Char"/>
    <w:basedOn w:val="DefaultParagraphFont"/>
    <w:link w:val="Heading6"/>
    <w:uiPriority w:val="9"/>
    <w:semiHidden/>
    <w:rsid w:val="000D1C58"/>
    <w:rPr>
      <w:rFonts w:asciiTheme="majorHAnsi" w:eastAsiaTheme="majorEastAsia" w:hAnsiTheme="majorHAnsi" w:cstheme="majorBidi"/>
      <w:color w:val="0A2F40" w:themeColor="accent1" w:themeShade="7F"/>
    </w:rPr>
  </w:style>
  <w:style w:type="paragraph" w:styleId="Title">
    <w:name w:val="Title"/>
    <w:basedOn w:val="Normal"/>
    <w:next w:val="Normal"/>
    <w:link w:val="TitleChar"/>
    <w:uiPriority w:val="10"/>
    <w:qFormat/>
    <w:rsid w:val="000D1C58"/>
    <w:pPr>
      <w:spacing w:after="0" w:line="276" w:lineRule="auto"/>
    </w:pPr>
    <w:rPr>
      <w:rFonts w:ascii="Arial Rounded MT Bold" w:eastAsiaTheme="majorEastAsia" w:hAnsi="Arial Rounded MT Bold" w:cstheme="majorBidi"/>
      <w:caps/>
      <w:color w:val="156082" w:themeColor="accent1"/>
      <w:spacing w:val="10"/>
      <w:sz w:val="52"/>
      <w:szCs w:val="52"/>
    </w:rPr>
  </w:style>
  <w:style w:type="character" w:customStyle="1" w:styleId="TitleChar">
    <w:name w:val="Title Char"/>
    <w:basedOn w:val="DefaultParagraphFont"/>
    <w:link w:val="Title"/>
    <w:uiPriority w:val="10"/>
    <w:rsid w:val="000D1C58"/>
    <w:rPr>
      <w:rFonts w:ascii="Arial Rounded MT Bold" w:eastAsiaTheme="majorEastAsia" w:hAnsi="Arial Rounded MT Bold" w:cstheme="majorBidi"/>
      <w:caps/>
      <w:color w:val="156082" w:themeColor="accent1"/>
      <w:spacing w:val="10"/>
      <w:sz w:val="52"/>
      <w:szCs w:val="52"/>
      <w:lang w:val="en-GB"/>
    </w:rPr>
  </w:style>
  <w:style w:type="paragraph" w:styleId="BalloonText">
    <w:name w:val="Balloon Text"/>
    <w:basedOn w:val="Normal"/>
    <w:link w:val="BalloonTextChar"/>
    <w:uiPriority w:val="99"/>
    <w:semiHidden/>
    <w:unhideWhenUsed/>
    <w:rsid w:val="000D1C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C58"/>
    <w:rPr>
      <w:rFonts w:ascii="Segoe UI" w:hAnsi="Segoe UI" w:cs="Segoe UI"/>
      <w:sz w:val="18"/>
      <w:szCs w:val="18"/>
    </w:rPr>
  </w:style>
  <w:style w:type="paragraph" w:styleId="ListParagraph">
    <w:name w:val="List Paragraph"/>
    <w:basedOn w:val="Normal"/>
    <w:uiPriority w:val="34"/>
    <w:qFormat/>
    <w:rsid w:val="000D1C58"/>
    <w:pPr>
      <w:spacing w:after="200" w:line="276" w:lineRule="auto"/>
      <w:ind w:left="720"/>
      <w:contextualSpacing/>
    </w:pPr>
    <w:rPr>
      <w:rFonts w:eastAsiaTheme="minorEastAsia"/>
      <w:sz w:val="20"/>
      <w:szCs w:val="20"/>
      <w:lang w:val="nl-BE"/>
    </w:rPr>
  </w:style>
  <w:style w:type="character" w:customStyle="1" w:styleId="Heading4Char">
    <w:name w:val="Heading 4 Char"/>
    <w:basedOn w:val="DefaultParagraphFont"/>
    <w:link w:val="Heading4"/>
    <w:uiPriority w:val="9"/>
    <w:semiHidden/>
    <w:rsid w:val="00336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E79"/>
    <w:rPr>
      <w:rFonts w:eastAsiaTheme="majorEastAsia" w:cstheme="majorBidi"/>
      <w:color w:val="0F4761" w:themeColor="accent1" w:themeShade="BF"/>
    </w:rPr>
  </w:style>
  <w:style w:type="character" w:customStyle="1" w:styleId="Heading7Char">
    <w:name w:val="Heading 7 Char"/>
    <w:basedOn w:val="DefaultParagraphFont"/>
    <w:link w:val="Heading7"/>
    <w:uiPriority w:val="9"/>
    <w:semiHidden/>
    <w:rsid w:val="00336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E79"/>
    <w:rPr>
      <w:rFonts w:eastAsiaTheme="majorEastAsia" w:cstheme="majorBidi"/>
      <w:color w:val="272727" w:themeColor="text1" w:themeTint="D8"/>
    </w:rPr>
  </w:style>
  <w:style w:type="paragraph" w:styleId="Subtitle">
    <w:name w:val="Subtitle"/>
    <w:basedOn w:val="Normal"/>
    <w:next w:val="Normal"/>
    <w:link w:val="SubtitleChar"/>
    <w:uiPriority w:val="11"/>
    <w:qFormat/>
    <w:rsid w:val="00336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E79"/>
    <w:pPr>
      <w:spacing w:before="160"/>
      <w:jc w:val="center"/>
    </w:pPr>
    <w:rPr>
      <w:i/>
      <w:iCs/>
      <w:color w:val="404040" w:themeColor="text1" w:themeTint="BF"/>
    </w:rPr>
  </w:style>
  <w:style w:type="character" w:customStyle="1" w:styleId="QuoteChar">
    <w:name w:val="Quote Char"/>
    <w:basedOn w:val="DefaultParagraphFont"/>
    <w:link w:val="Quote"/>
    <w:uiPriority w:val="29"/>
    <w:rsid w:val="00336E79"/>
    <w:rPr>
      <w:i/>
      <w:iCs/>
      <w:color w:val="404040" w:themeColor="text1" w:themeTint="BF"/>
    </w:rPr>
  </w:style>
  <w:style w:type="character" w:styleId="IntenseEmphasis">
    <w:name w:val="Intense Emphasis"/>
    <w:basedOn w:val="DefaultParagraphFont"/>
    <w:uiPriority w:val="21"/>
    <w:qFormat/>
    <w:rsid w:val="00336E79"/>
    <w:rPr>
      <w:i/>
      <w:iCs/>
      <w:color w:val="0F4761" w:themeColor="accent1" w:themeShade="BF"/>
    </w:rPr>
  </w:style>
  <w:style w:type="paragraph" w:styleId="IntenseQuote">
    <w:name w:val="Intense Quote"/>
    <w:basedOn w:val="Normal"/>
    <w:next w:val="Normal"/>
    <w:link w:val="IntenseQuoteChar"/>
    <w:uiPriority w:val="30"/>
    <w:qFormat/>
    <w:rsid w:val="00336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E79"/>
    <w:rPr>
      <w:i/>
      <w:iCs/>
      <w:color w:val="0F4761" w:themeColor="accent1" w:themeShade="BF"/>
    </w:rPr>
  </w:style>
  <w:style w:type="character" w:styleId="IntenseReference">
    <w:name w:val="Intense Reference"/>
    <w:basedOn w:val="DefaultParagraphFont"/>
    <w:uiPriority w:val="32"/>
    <w:qFormat/>
    <w:rsid w:val="00336E79"/>
    <w:rPr>
      <w:b/>
      <w:bCs/>
      <w:smallCaps/>
      <w:color w:val="0F4761" w:themeColor="accent1" w:themeShade="BF"/>
      <w:spacing w:val="5"/>
    </w:rPr>
  </w:style>
  <w:style w:type="paragraph" w:styleId="Footer">
    <w:name w:val="footer"/>
    <w:basedOn w:val="Normal"/>
    <w:link w:val="FooterChar"/>
    <w:uiPriority w:val="99"/>
    <w:rsid w:val="00336E79"/>
    <w:pPr>
      <w:spacing w:after="0"/>
      <w:ind w:right="-567"/>
      <w:jc w:val="left"/>
    </w:pPr>
    <w:rPr>
      <w:rFonts w:ascii="Arial" w:hAnsi="Arial"/>
      <w:sz w:val="16"/>
    </w:rPr>
  </w:style>
  <w:style w:type="character" w:customStyle="1" w:styleId="FooterChar">
    <w:name w:val="Footer Char"/>
    <w:basedOn w:val="DefaultParagraphFont"/>
    <w:link w:val="Footer"/>
    <w:uiPriority w:val="99"/>
    <w:rsid w:val="00336E79"/>
    <w:rPr>
      <w:rFonts w:ascii="Arial" w:eastAsia="Times New Roman" w:hAnsi="Arial" w:cs="Times New Roman"/>
      <w:sz w:val="16"/>
      <w:szCs w:val="24"/>
      <w:lang w:val="en-GB" w:eastAsia="en-GB"/>
    </w:rPr>
  </w:style>
  <w:style w:type="paragraph" w:styleId="Header">
    <w:name w:val="header"/>
    <w:basedOn w:val="Normal"/>
    <w:link w:val="HeaderChar"/>
    <w:rsid w:val="00336E79"/>
    <w:pPr>
      <w:tabs>
        <w:tab w:val="center" w:pos="4153"/>
        <w:tab w:val="right" w:pos="8306"/>
      </w:tabs>
    </w:pPr>
  </w:style>
  <w:style w:type="character" w:customStyle="1" w:styleId="HeaderChar">
    <w:name w:val="Header Char"/>
    <w:basedOn w:val="DefaultParagraphFont"/>
    <w:link w:val="Header"/>
    <w:rsid w:val="00336E79"/>
    <w:rPr>
      <w:rFonts w:ascii="Times New Roman" w:eastAsia="Times New Roman" w:hAnsi="Times New Roman" w:cs="Times New Roman"/>
      <w:sz w:val="24"/>
      <w:szCs w:val="24"/>
      <w:lang w:val="en-GB" w:eastAsia="en-GB"/>
    </w:rPr>
  </w:style>
  <w:style w:type="paragraph" w:styleId="TOC1">
    <w:name w:val="toc 1"/>
    <w:basedOn w:val="Normal"/>
    <w:next w:val="Normal"/>
    <w:uiPriority w:val="39"/>
    <w:rsid w:val="00336E79"/>
    <w:pPr>
      <w:tabs>
        <w:tab w:val="right" w:leader="dot" w:pos="8640"/>
      </w:tabs>
      <w:spacing w:before="120" w:after="120"/>
      <w:ind w:left="482" w:right="720" w:hanging="482"/>
    </w:pPr>
    <w:rPr>
      <w:caps/>
    </w:rPr>
  </w:style>
  <w:style w:type="paragraph" w:styleId="TOC2">
    <w:name w:val="toc 2"/>
    <w:basedOn w:val="Normal"/>
    <w:next w:val="Normal"/>
    <w:uiPriority w:val="39"/>
    <w:rsid w:val="00336E79"/>
    <w:pPr>
      <w:tabs>
        <w:tab w:val="right" w:leader="dot" w:pos="8640"/>
      </w:tabs>
      <w:spacing w:before="60" w:after="60"/>
      <w:ind w:left="1077" w:right="720" w:hanging="595"/>
    </w:pPr>
  </w:style>
  <w:style w:type="paragraph" w:styleId="TOC3">
    <w:name w:val="toc 3"/>
    <w:basedOn w:val="Normal"/>
    <w:next w:val="Normal"/>
    <w:semiHidden/>
    <w:rsid w:val="00336E79"/>
    <w:pPr>
      <w:tabs>
        <w:tab w:val="right" w:leader="dot" w:pos="8640"/>
      </w:tabs>
      <w:spacing w:before="60" w:after="60"/>
      <w:ind w:left="1916" w:right="720" w:hanging="839"/>
    </w:pPr>
  </w:style>
  <w:style w:type="character" w:styleId="PageNumber">
    <w:name w:val="page number"/>
    <w:basedOn w:val="DefaultParagraphFont"/>
    <w:rsid w:val="00336E79"/>
  </w:style>
  <w:style w:type="character" w:styleId="Hyperlink">
    <w:name w:val="Hyperlink"/>
    <w:uiPriority w:val="99"/>
    <w:rsid w:val="00336E79"/>
    <w:rPr>
      <w:color w:val="0000FF"/>
      <w:u w:val="single"/>
    </w:rPr>
  </w:style>
  <w:style w:type="table" w:styleId="TableGrid">
    <w:name w:val="Table Grid"/>
    <w:basedOn w:val="TableNormal"/>
    <w:rsid w:val="00336E79"/>
    <w:pPr>
      <w:spacing w:after="240" w:line="240" w:lineRule="auto"/>
      <w:jc w:val="both"/>
    </w:pPr>
    <w:rPr>
      <w:rFonts w:ascii="Times New Roman" w:eastAsia="Times New Roma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www.eursc.eu/BasicTexts/2020-04-D-23-en-5.pdf" TargetMode="External"/><Relationship Id="rId5" Type="http://schemas.openxmlformats.org/officeDocument/2006/relationships/image" Target="media/image1.jpeg"/><Relationship Id="rId10" Type="http://schemas.openxmlformats.org/officeDocument/2006/relationships/hyperlink" Target="https://www.eursc.eu/BasicTexts/2016-05-D-11-en-19.pdf" TargetMode="External"/><Relationship Id="rId4" Type="http://schemas.openxmlformats.org/officeDocument/2006/relationships/webSettings" Target="webSettings.xml"/><Relationship Id="rId9" Type="http://schemas.openxmlformats.org/officeDocument/2006/relationships/hyperlink" Target="https://www.eursc.eu/BasicTexts/2007-D-153-en-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 DEPUTY DIRECTOR FINANCE AND ADMINISTRATION</dc:creator>
  <cp:keywords/>
  <dc:description/>
  <cp:lastModifiedBy>BER DEPUTY DIRECTOR FINANCE AND ADMINISTRATION</cp:lastModifiedBy>
  <cp:revision>1</cp:revision>
  <dcterms:created xsi:type="dcterms:W3CDTF">2026-06-05T09:27:00Z</dcterms:created>
  <dcterms:modified xsi:type="dcterms:W3CDTF">2026-06-05T09:52:00Z</dcterms:modified>
</cp:coreProperties>
</file>